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6F16B" w14:textId="7FDBAE65" w:rsidR="00593833" w:rsidRPr="00C00960" w:rsidRDefault="00087896" w:rsidP="00593833">
      <w:pPr>
        <w:tabs>
          <w:tab w:val="left" w:pos="6237"/>
        </w:tabs>
        <w:ind w:left="6237"/>
        <w:contextualSpacing/>
        <w:mirrorIndents/>
        <w:rPr>
          <w:b/>
          <w:sz w:val="20"/>
          <w:szCs w:val="20"/>
        </w:rPr>
      </w:pPr>
      <w:r w:rsidRPr="00C00960">
        <w:rPr>
          <w:b/>
          <w:sz w:val="20"/>
          <w:szCs w:val="20"/>
        </w:rPr>
        <w:t>Tárgy:</w:t>
      </w:r>
      <w:r w:rsidRPr="00C00960">
        <w:rPr>
          <w:sz w:val="20"/>
          <w:szCs w:val="20"/>
        </w:rPr>
        <w:t xml:space="preserve"> </w:t>
      </w:r>
      <w:r w:rsidR="00593833" w:rsidRPr="00C00960">
        <w:rPr>
          <w:sz w:val="20"/>
          <w:szCs w:val="20"/>
        </w:rPr>
        <w:t>Tűzoltóságok beavatkozásával kapcsolatos előírás alóli eltérés engedélyezés</w:t>
      </w:r>
      <w:r w:rsidR="00C00960" w:rsidRPr="00C00960">
        <w:rPr>
          <w:sz w:val="20"/>
          <w:szCs w:val="20"/>
        </w:rPr>
        <w:t>e</w:t>
      </w:r>
    </w:p>
    <w:p w14:paraId="37128220" w14:textId="3411AE42" w:rsidR="00835764" w:rsidRPr="00C00960" w:rsidRDefault="00835764" w:rsidP="00593833">
      <w:pPr>
        <w:tabs>
          <w:tab w:val="left" w:pos="6237"/>
        </w:tabs>
        <w:ind w:left="6237"/>
        <w:contextualSpacing/>
        <w:mirrorIndents/>
        <w:rPr>
          <w:sz w:val="20"/>
          <w:szCs w:val="20"/>
        </w:rPr>
      </w:pPr>
      <w:r w:rsidRPr="00C00960">
        <w:rPr>
          <w:b/>
          <w:sz w:val="20"/>
          <w:szCs w:val="20"/>
        </w:rPr>
        <w:t>Hiv. szám:</w:t>
      </w:r>
      <w:r w:rsidR="002E1720" w:rsidRPr="00C00960">
        <w:rPr>
          <w:b/>
          <w:sz w:val="20"/>
          <w:szCs w:val="20"/>
        </w:rPr>
        <w:t xml:space="preserve"> -</w:t>
      </w:r>
    </w:p>
    <w:p w14:paraId="721319AB" w14:textId="1515314D" w:rsidR="00823D91" w:rsidRPr="00C00960" w:rsidRDefault="00823D91" w:rsidP="00823D91">
      <w:pPr>
        <w:tabs>
          <w:tab w:val="left" w:pos="6237"/>
        </w:tabs>
        <w:contextualSpacing/>
        <w:mirrorIndents/>
        <w:rPr>
          <w:sz w:val="20"/>
          <w:szCs w:val="20"/>
        </w:rPr>
      </w:pPr>
      <w:r w:rsidRPr="00C00960">
        <w:rPr>
          <w:b/>
          <w:sz w:val="20"/>
          <w:szCs w:val="20"/>
        </w:rPr>
        <w:tab/>
      </w:r>
      <w:r w:rsidR="00087896" w:rsidRPr="00C00960">
        <w:rPr>
          <w:b/>
          <w:sz w:val="20"/>
          <w:szCs w:val="20"/>
        </w:rPr>
        <w:t>Ügyintéző</w:t>
      </w:r>
      <w:r w:rsidR="0095426D" w:rsidRPr="00C00960">
        <w:rPr>
          <w:b/>
          <w:sz w:val="20"/>
          <w:szCs w:val="20"/>
        </w:rPr>
        <w:t>:</w:t>
      </w:r>
      <w:r w:rsidR="0095426D" w:rsidRPr="00C00960">
        <w:rPr>
          <w:sz w:val="20"/>
          <w:szCs w:val="20"/>
        </w:rPr>
        <w:t xml:space="preserve"> </w:t>
      </w:r>
      <w:r w:rsidR="00457E4D" w:rsidRPr="00457E4D">
        <w:rPr>
          <w:sz w:val="20"/>
          <w:szCs w:val="20"/>
        </w:rPr>
        <w:t>---------</w:t>
      </w:r>
      <w:r w:rsidR="00457E4D">
        <w:rPr>
          <w:sz w:val="20"/>
          <w:szCs w:val="20"/>
        </w:rPr>
        <w:t>------------------------</w:t>
      </w:r>
    </w:p>
    <w:p w14:paraId="661158F7" w14:textId="6E282FDF" w:rsidR="009955AC" w:rsidRPr="00C00960" w:rsidRDefault="00823D91" w:rsidP="00823D91">
      <w:pPr>
        <w:tabs>
          <w:tab w:val="left" w:pos="6237"/>
        </w:tabs>
        <w:contextualSpacing/>
        <w:mirrorIndents/>
        <w:rPr>
          <w:sz w:val="20"/>
          <w:szCs w:val="20"/>
        </w:rPr>
      </w:pPr>
      <w:r w:rsidRPr="00C00960">
        <w:rPr>
          <w:b/>
          <w:sz w:val="20"/>
          <w:szCs w:val="20"/>
        </w:rPr>
        <w:tab/>
      </w:r>
      <w:r w:rsidR="00087896" w:rsidRPr="00C00960">
        <w:rPr>
          <w:b/>
          <w:sz w:val="20"/>
          <w:szCs w:val="20"/>
        </w:rPr>
        <w:t>Telefon:</w:t>
      </w:r>
      <w:r w:rsidR="00835764" w:rsidRPr="00C00960">
        <w:rPr>
          <w:b/>
          <w:sz w:val="20"/>
          <w:szCs w:val="20"/>
        </w:rPr>
        <w:t xml:space="preserve"> </w:t>
      </w:r>
      <w:r w:rsidR="004C04E7" w:rsidRPr="00C00960">
        <w:rPr>
          <w:sz w:val="20"/>
          <w:szCs w:val="20"/>
        </w:rPr>
        <w:t>(+36) 79/521-240</w:t>
      </w:r>
    </w:p>
    <w:p w14:paraId="25EE76FF" w14:textId="06B20B0A" w:rsidR="002C074C" w:rsidRDefault="00823D91" w:rsidP="00823D91">
      <w:pPr>
        <w:tabs>
          <w:tab w:val="left" w:pos="6237"/>
        </w:tabs>
        <w:contextualSpacing/>
        <w:mirrorIndents/>
        <w:rPr>
          <w:rStyle w:val="Hiperhivatkozs"/>
          <w:sz w:val="20"/>
          <w:szCs w:val="20"/>
        </w:rPr>
      </w:pPr>
      <w:r w:rsidRPr="00C00960">
        <w:rPr>
          <w:sz w:val="20"/>
          <w:szCs w:val="20"/>
        </w:rPr>
        <w:tab/>
      </w:r>
      <w:r w:rsidRPr="00C00960">
        <w:rPr>
          <w:b/>
          <w:sz w:val="20"/>
          <w:szCs w:val="20"/>
        </w:rPr>
        <w:t>E-mail:</w:t>
      </w:r>
      <w:r w:rsidRPr="00C00960">
        <w:rPr>
          <w:sz w:val="20"/>
          <w:szCs w:val="20"/>
        </w:rPr>
        <w:t xml:space="preserve"> </w:t>
      </w:r>
      <w:r w:rsidR="00457E4D" w:rsidRPr="00457E4D">
        <w:rPr>
          <w:sz w:val="20"/>
          <w:szCs w:val="20"/>
        </w:rPr>
        <w:t>---------</w:t>
      </w:r>
      <w:r w:rsidR="00457E4D">
        <w:rPr>
          <w:sz w:val="20"/>
          <w:szCs w:val="20"/>
        </w:rPr>
        <w:t>------------------------</w:t>
      </w:r>
    </w:p>
    <w:p w14:paraId="0C47350A" w14:textId="09A909D3" w:rsidR="00C00960" w:rsidRDefault="00C00960" w:rsidP="00823D91">
      <w:pPr>
        <w:tabs>
          <w:tab w:val="left" w:pos="6237"/>
        </w:tabs>
        <w:contextualSpacing/>
        <w:mirrorIndents/>
        <w:rPr>
          <w:rStyle w:val="Hiperhivatkozs"/>
          <w:color w:val="auto"/>
          <w:szCs w:val="20"/>
          <w:u w:val="none"/>
        </w:rPr>
      </w:pPr>
    </w:p>
    <w:p w14:paraId="34EA8AD7" w14:textId="77777777" w:rsidR="00C00960" w:rsidRPr="00C00960" w:rsidRDefault="00C00960" w:rsidP="00823D91">
      <w:pPr>
        <w:tabs>
          <w:tab w:val="left" w:pos="6237"/>
        </w:tabs>
        <w:contextualSpacing/>
        <w:mirrorIndents/>
        <w:rPr>
          <w:szCs w:val="20"/>
        </w:rPr>
      </w:pPr>
    </w:p>
    <w:p w14:paraId="3E6394D2" w14:textId="77777777" w:rsidR="001A6B4C" w:rsidRPr="00C00960" w:rsidRDefault="001A6B4C" w:rsidP="001A6B4C">
      <w:pPr>
        <w:tabs>
          <w:tab w:val="left" w:pos="6237"/>
        </w:tabs>
        <w:contextualSpacing/>
        <w:mirrorIndents/>
        <w:jc w:val="center"/>
        <w:rPr>
          <w:b/>
          <w:szCs w:val="20"/>
        </w:rPr>
      </w:pPr>
      <w:r w:rsidRPr="00C00960">
        <w:rPr>
          <w:b/>
          <w:szCs w:val="20"/>
        </w:rPr>
        <w:t>HATÁROZAT</w:t>
      </w:r>
    </w:p>
    <w:p w14:paraId="7084815C" w14:textId="7783817C" w:rsidR="002C074C" w:rsidRPr="00C00960" w:rsidRDefault="002C074C" w:rsidP="001A6B4C">
      <w:pPr>
        <w:tabs>
          <w:tab w:val="left" w:pos="6237"/>
        </w:tabs>
        <w:contextualSpacing/>
        <w:mirrorIndents/>
        <w:rPr>
          <w:szCs w:val="20"/>
        </w:rPr>
      </w:pPr>
    </w:p>
    <w:p w14:paraId="0B0B5C73" w14:textId="77777777" w:rsidR="00C00960" w:rsidRPr="00C00960" w:rsidRDefault="00C00960" w:rsidP="001A6B4C">
      <w:pPr>
        <w:tabs>
          <w:tab w:val="left" w:pos="6237"/>
        </w:tabs>
        <w:contextualSpacing/>
        <w:mirrorIndents/>
        <w:rPr>
          <w:szCs w:val="20"/>
        </w:rPr>
      </w:pPr>
    </w:p>
    <w:p w14:paraId="608D383A" w14:textId="341E0E06" w:rsidR="0051339D" w:rsidRPr="00C00960" w:rsidRDefault="00632AFF" w:rsidP="001A6B4C">
      <w:pPr>
        <w:tabs>
          <w:tab w:val="left" w:pos="6237"/>
        </w:tabs>
        <w:contextualSpacing/>
        <w:mirrorIndents/>
        <w:rPr>
          <w:rFonts w:eastAsia="Calibri"/>
          <w:szCs w:val="24"/>
        </w:rPr>
      </w:pPr>
      <w:r w:rsidRPr="00C00960">
        <w:rPr>
          <w:rFonts w:eastAsia="Calibri"/>
          <w:szCs w:val="24"/>
        </w:rPr>
        <w:t xml:space="preserve">A BMSK Beruházási, Műszaki Fejlesztési, Sportüzemeltetési és Közbeszerzési Zártkörűen Működő Részvénytársaság </w:t>
      </w:r>
      <w:r w:rsidR="00A73C93" w:rsidRPr="00C00960">
        <w:rPr>
          <w:rFonts w:eastAsia="Calibri"/>
          <w:szCs w:val="24"/>
        </w:rPr>
        <w:t xml:space="preserve">(1146 Budapest, Istvánmezei út 1-3.) </w:t>
      </w:r>
      <w:r w:rsidRPr="00C00960">
        <w:rPr>
          <w:rFonts w:eastAsia="Calibri"/>
          <w:szCs w:val="24"/>
        </w:rPr>
        <w:t xml:space="preserve">(a továbbiakban: Ügyfél) meghatalmazásában </w:t>
      </w:r>
      <w:r w:rsidR="00457E4D" w:rsidRPr="00457E4D">
        <w:rPr>
          <w:sz w:val="20"/>
          <w:szCs w:val="20"/>
        </w:rPr>
        <w:t>---------</w:t>
      </w:r>
      <w:r w:rsidR="00457E4D">
        <w:rPr>
          <w:sz w:val="20"/>
          <w:szCs w:val="20"/>
        </w:rPr>
        <w:t>------------------------</w:t>
      </w:r>
      <w:r w:rsidR="00457E4D" w:rsidRPr="00C00960">
        <w:rPr>
          <w:rFonts w:eastAsia="Calibri"/>
          <w:szCs w:val="24"/>
        </w:rPr>
        <w:t xml:space="preserve"> </w:t>
      </w:r>
      <w:r w:rsidR="004F7095" w:rsidRPr="00C00960">
        <w:rPr>
          <w:rFonts w:eastAsia="Calibri"/>
          <w:szCs w:val="24"/>
        </w:rPr>
        <w:t>(</w:t>
      </w:r>
      <w:r w:rsidR="00457E4D" w:rsidRPr="00457E4D">
        <w:rPr>
          <w:sz w:val="20"/>
          <w:szCs w:val="20"/>
        </w:rPr>
        <w:t>---------</w:t>
      </w:r>
      <w:r w:rsidR="00457E4D">
        <w:rPr>
          <w:sz w:val="20"/>
          <w:szCs w:val="20"/>
        </w:rPr>
        <w:t>------------------------</w:t>
      </w:r>
      <w:r w:rsidR="004F7095" w:rsidRPr="00C00960">
        <w:rPr>
          <w:rFonts w:eastAsia="Calibri"/>
          <w:szCs w:val="24"/>
        </w:rPr>
        <w:t>) (a továbbiakban: Kérelmező)</w:t>
      </w:r>
      <w:r w:rsidR="004C04E7" w:rsidRPr="00C00960">
        <w:rPr>
          <w:rFonts w:eastAsia="Calibri"/>
          <w:szCs w:val="24"/>
        </w:rPr>
        <w:t xml:space="preserve"> </w:t>
      </w:r>
      <w:r w:rsidR="00593833" w:rsidRPr="00C00960">
        <w:rPr>
          <w:rFonts w:eastAsia="Calibri"/>
          <w:szCs w:val="24"/>
        </w:rPr>
        <w:t>által benyújtott tűzoltóságok beavatkozásával kapcsolatos követelmények alóli eltérés</w:t>
      </w:r>
      <w:r w:rsidR="00D73505" w:rsidRPr="00C00960">
        <w:rPr>
          <w:rFonts w:eastAsia="Calibri"/>
          <w:szCs w:val="24"/>
        </w:rPr>
        <w:t>i enge</w:t>
      </w:r>
      <w:r w:rsidR="00593833" w:rsidRPr="00C00960">
        <w:rPr>
          <w:rFonts w:eastAsia="Calibri"/>
          <w:szCs w:val="24"/>
        </w:rPr>
        <w:t>délyezési kérelemnek helyt adok, és tűzvédelmi szempontból</w:t>
      </w:r>
    </w:p>
    <w:p w14:paraId="55D7B076" w14:textId="77777777" w:rsidR="004C04E7" w:rsidRPr="00C00960" w:rsidRDefault="004C04E7" w:rsidP="001A6B4C">
      <w:pPr>
        <w:tabs>
          <w:tab w:val="left" w:pos="6237"/>
        </w:tabs>
        <w:contextualSpacing/>
        <w:mirrorIndents/>
        <w:rPr>
          <w:szCs w:val="20"/>
        </w:rPr>
      </w:pPr>
    </w:p>
    <w:p w14:paraId="442A0E82" w14:textId="2D719AEF" w:rsidR="001A6B4C" w:rsidRPr="00C00960" w:rsidRDefault="001A6B4C" w:rsidP="0051339D">
      <w:pPr>
        <w:tabs>
          <w:tab w:val="left" w:pos="6237"/>
        </w:tabs>
        <w:contextualSpacing/>
        <w:mirrorIndents/>
        <w:jc w:val="center"/>
        <w:rPr>
          <w:b/>
          <w:szCs w:val="20"/>
        </w:rPr>
      </w:pPr>
      <w:r w:rsidRPr="00C00960">
        <w:rPr>
          <w:b/>
          <w:szCs w:val="20"/>
        </w:rPr>
        <w:t>enged</w:t>
      </w:r>
      <w:r w:rsidR="00593833" w:rsidRPr="00C00960">
        <w:rPr>
          <w:b/>
          <w:szCs w:val="20"/>
        </w:rPr>
        <w:t>élyezem</w:t>
      </w:r>
    </w:p>
    <w:p w14:paraId="53579A96" w14:textId="77777777" w:rsidR="0051339D" w:rsidRPr="00C00960" w:rsidRDefault="0051339D" w:rsidP="001A6B4C">
      <w:pPr>
        <w:tabs>
          <w:tab w:val="left" w:pos="6237"/>
        </w:tabs>
        <w:contextualSpacing/>
        <w:mirrorIndents/>
        <w:rPr>
          <w:szCs w:val="20"/>
        </w:rPr>
      </w:pPr>
    </w:p>
    <w:p w14:paraId="35659ED2" w14:textId="4572F355" w:rsidR="00C00960" w:rsidRPr="00670579" w:rsidRDefault="00593833" w:rsidP="00593833">
      <w:pPr>
        <w:spacing w:after="120"/>
        <w:rPr>
          <w:rFonts w:eastAsia="Calibri" w:cs="Times New Roman"/>
          <w:bCs/>
          <w:szCs w:val="24"/>
        </w:rPr>
      </w:pPr>
      <w:r w:rsidRPr="00670579">
        <w:rPr>
          <w:rFonts w:eastAsia="Calibri" w:cs="Times New Roman"/>
          <w:szCs w:val="24"/>
        </w:rPr>
        <w:t xml:space="preserve">a </w:t>
      </w:r>
      <w:r w:rsidR="001F5A81" w:rsidRPr="001F5A81">
        <w:rPr>
          <w:rFonts w:eastAsia="Calibri" w:cs="Times New Roman"/>
          <w:bCs/>
          <w:szCs w:val="24"/>
        </w:rPr>
        <w:t>6000 Kecskemét, Olimpia utca 10208/21</w:t>
      </w:r>
      <w:r w:rsidR="001F5A81">
        <w:rPr>
          <w:rFonts w:eastAsia="Calibri" w:cs="Times New Roman"/>
          <w:bCs/>
          <w:szCs w:val="24"/>
        </w:rPr>
        <w:t>.</w:t>
      </w:r>
      <w:r w:rsidR="004F7095" w:rsidRPr="00670579">
        <w:rPr>
          <w:rFonts w:eastAsia="Calibri" w:cs="Times New Roman"/>
          <w:bCs/>
          <w:szCs w:val="24"/>
        </w:rPr>
        <w:t xml:space="preserve"> hrsz. alatti ingatlanon létesülő </w:t>
      </w:r>
      <w:r w:rsidR="001F5A81" w:rsidRPr="001F5A81">
        <w:rPr>
          <w:rFonts w:eastAsia="Calibri" w:cs="Times New Roman"/>
          <w:bCs/>
          <w:szCs w:val="24"/>
        </w:rPr>
        <w:t>Honvédelmi Sportközpont</w:t>
      </w:r>
      <w:r w:rsidR="001F5A81">
        <w:rPr>
          <w:rFonts w:eastAsia="Calibri" w:cs="Times New Roman"/>
          <w:bCs/>
          <w:szCs w:val="24"/>
        </w:rPr>
        <w:t>ra</w:t>
      </w:r>
      <w:r w:rsidR="004F7095" w:rsidRPr="00670579">
        <w:rPr>
          <w:rFonts w:eastAsia="Calibri" w:cs="Times New Roman"/>
          <w:bCs/>
          <w:szCs w:val="24"/>
        </w:rPr>
        <w:t xml:space="preserve"> vonatkozóan</w:t>
      </w:r>
      <w:r w:rsidR="00D73505" w:rsidRPr="00670579">
        <w:rPr>
          <w:rFonts w:eastAsia="Calibri" w:cs="Times New Roman"/>
          <w:bCs/>
          <w:szCs w:val="24"/>
        </w:rPr>
        <w:t xml:space="preserve"> a</w:t>
      </w:r>
      <w:r w:rsidRPr="00670579">
        <w:rPr>
          <w:rFonts w:eastAsia="Calibri" w:cs="Times New Roman"/>
          <w:bCs/>
          <w:szCs w:val="24"/>
        </w:rPr>
        <w:t xml:space="preserve"> </w:t>
      </w:r>
      <w:r w:rsidR="00D73505" w:rsidRPr="00670579">
        <w:rPr>
          <w:rFonts w:eastAsia="Calibri" w:cs="Times New Roman"/>
          <w:bCs/>
          <w:szCs w:val="24"/>
        </w:rPr>
        <w:t xml:space="preserve">fali tűzcsap hálózat </w:t>
      </w:r>
      <w:r w:rsidR="001F5A81">
        <w:rPr>
          <w:rFonts w:eastAsia="Calibri" w:cs="Times New Roman"/>
          <w:bCs/>
          <w:szCs w:val="24"/>
        </w:rPr>
        <w:t>kialakítását úgy, hogy</w:t>
      </w:r>
      <w:r w:rsidR="001858C1" w:rsidRPr="00670579">
        <w:rPr>
          <w:rFonts w:eastAsia="Calibri" w:cs="Times New Roman"/>
          <w:bCs/>
          <w:szCs w:val="24"/>
        </w:rPr>
        <w:t xml:space="preserve"> a </w:t>
      </w:r>
      <w:r w:rsidR="001F5A81">
        <w:rPr>
          <w:rFonts w:eastAsia="Calibri" w:cs="Times New Roman"/>
          <w:bCs/>
          <w:szCs w:val="24"/>
        </w:rPr>
        <w:t>fejépületben a földszinten</w:t>
      </w:r>
      <w:r w:rsidR="001858C1" w:rsidRPr="00670579">
        <w:rPr>
          <w:rFonts w:eastAsia="Calibri" w:cs="Times New Roman"/>
          <w:bCs/>
          <w:szCs w:val="24"/>
        </w:rPr>
        <w:t xml:space="preserve"> </w:t>
      </w:r>
      <w:r w:rsidR="000111B4" w:rsidRPr="00670579">
        <w:rPr>
          <w:rFonts w:eastAsia="Calibri" w:cs="Times New Roman"/>
          <w:bCs/>
          <w:szCs w:val="24"/>
        </w:rPr>
        <w:t>2 db fali</w:t>
      </w:r>
      <w:r w:rsidR="009C4C47" w:rsidRPr="00670579">
        <w:rPr>
          <w:rFonts w:eastAsia="Calibri" w:cs="Times New Roman"/>
          <w:bCs/>
          <w:szCs w:val="24"/>
        </w:rPr>
        <w:t xml:space="preserve"> tűzcsap</w:t>
      </w:r>
      <w:r w:rsidR="001F5A81">
        <w:rPr>
          <w:rFonts w:eastAsia="Calibri" w:cs="Times New Roman"/>
          <w:bCs/>
          <w:szCs w:val="24"/>
        </w:rPr>
        <w:t>, az emeleten 1 db fali tűzcsap kerül kialakításra</w:t>
      </w:r>
      <w:r w:rsidR="000111B4" w:rsidRPr="00670579">
        <w:rPr>
          <w:rFonts w:eastAsia="Calibri" w:cs="Times New Roman"/>
          <w:bCs/>
          <w:szCs w:val="24"/>
        </w:rPr>
        <w:t>, amelynek lefedettsége a fejépületet</w:t>
      </w:r>
      <w:r w:rsidR="004A4E0A">
        <w:rPr>
          <w:rFonts w:eastAsia="Calibri" w:cs="Times New Roman"/>
          <w:bCs/>
          <w:szCs w:val="24"/>
        </w:rPr>
        <w:t xml:space="preserve"> valamint részben a lőteret</w:t>
      </w:r>
      <w:r w:rsidR="000111B4" w:rsidRPr="00670579">
        <w:rPr>
          <w:rFonts w:eastAsia="Calibri" w:cs="Times New Roman"/>
          <w:bCs/>
          <w:szCs w:val="24"/>
        </w:rPr>
        <w:t xml:space="preserve"> érinti, a </w:t>
      </w:r>
      <w:r w:rsidR="004A4E0A">
        <w:rPr>
          <w:rFonts w:eastAsia="Calibri" w:cs="Times New Roman"/>
          <w:bCs/>
          <w:szCs w:val="24"/>
        </w:rPr>
        <w:t xml:space="preserve">lőtér területén fali tűzcsap </w:t>
      </w:r>
      <w:r w:rsidR="000111B4" w:rsidRPr="00670579">
        <w:rPr>
          <w:rFonts w:eastAsia="Calibri" w:cs="Times New Roman"/>
          <w:bCs/>
          <w:szCs w:val="24"/>
        </w:rPr>
        <w:t>nem kerül kialakításra</w:t>
      </w:r>
      <w:r w:rsidRPr="00670579">
        <w:rPr>
          <w:rFonts w:eastAsia="Calibri" w:cs="Times New Roman"/>
          <w:bCs/>
          <w:szCs w:val="24"/>
        </w:rPr>
        <w:t>.</w:t>
      </w:r>
    </w:p>
    <w:p w14:paraId="0B281EA6" w14:textId="1D6891DD" w:rsidR="00593833" w:rsidRPr="00670579" w:rsidRDefault="00593833" w:rsidP="00593833">
      <w:pPr>
        <w:spacing w:before="240" w:after="240"/>
        <w:rPr>
          <w:rFonts w:eastAsia="Calibri" w:cs="Times New Roman"/>
          <w:b/>
          <w:bCs/>
          <w:szCs w:val="24"/>
          <w:u w:val="single"/>
        </w:rPr>
      </w:pPr>
      <w:r w:rsidRPr="00670579">
        <w:rPr>
          <w:rFonts w:eastAsia="Calibri" w:cs="Times New Roman"/>
          <w:b/>
          <w:bCs/>
          <w:szCs w:val="24"/>
          <w:u w:val="single"/>
        </w:rPr>
        <w:t>Az általános előírásoktól eltérő kialakítás ellensúlyozására, az alábbi, a biztonságot tűzvédelmi szempontból javító műszaki megoldás</w:t>
      </w:r>
      <w:r w:rsidR="00EB6693" w:rsidRPr="00670579">
        <w:rPr>
          <w:rFonts w:eastAsia="Calibri" w:cs="Times New Roman"/>
          <w:b/>
          <w:bCs/>
          <w:szCs w:val="24"/>
          <w:u w:val="single"/>
        </w:rPr>
        <w:t>okat</w:t>
      </w:r>
      <w:r w:rsidRPr="00670579">
        <w:rPr>
          <w:rFonts w:eastAsia="Calibri" w:cs="Times New Roman"/>
          <w:b/>
          <w:bCs/>
          <w:szCs w:val="24"/>
          <w:u w:val="single"/>
        </w:rPr>
        <w:t xml:space="preserve"> kell alkalmazni:</w:t>
      </w:r>
    </w:p>
    <w:p w14:paraId="3F62AA54" w14:textId="1FD9EA4E" w:rsidR="00593833" w:rsidRDefault="00BB1AF0" w:rsidP="00BB1AF0">
      <w:pPr>
        <w:mirrorIndents/>
        <w:rPr>
          <w:bCs/>
          <w:szCs w:val="24"/>
        </w:rPr>
      </w:pPr>
      <w:r w:rsidRPr="00BB1AF0">
        <w:rPr>
          <w:bCs/>
          <w:szCs w:val="24"/>
        </w:rPr>
        <w:t>1.</w:t>
      </w:r>
      <w:r>
        <w:rPr>
          <w:bCs/>
          <w:szCs w:val="24"/>
        </w:rPr>
        <w:t xml:space="preserve"> </w:t>
      </w:r>
      <w:r w:rsidR="000111B4" w:rsidRPr="00BB1AF0">
        <w:rPr>
          <w:bCs/>
          <w:szCs w:val="24"/>
        </w:rPr>
        <w:t>Az épületben legalább 4</w:t>
      </w:r>
      <w:r w:rsidR="00690B45" w:rsidRPr="00BB1AF0">
        <w:rPr>
          <w:bCs/>
          <w:szCs w:val="24"/>
        </w:rPr>
        <w:t xml:space="preserve"> db MSZ EN 3 szabvány szerint gyártott</w:t>
      </w:r>
      <w:r w:rsidR="004A4E0A" w:rsidRPr="00BB1AF0">
        <w:rPr>
          <w:bCs/>
          <w:szCs w:val="24"/>
        </w:rPr>
        <w:t>, 27A 144</w:t>
      </w:r>
      <w:r w:rsidR="00690B45" w:rsidRPr="00BB1AF0">
        <w:rPr>
          <w:bCs/>
          <w:szCs w:val="24"/>
        </w:rPr>
        <w:t>B C vizsgálati tüzek oltására alkalmas hordozható tűzoltó készüléket kell készenlétben tartani.</w:t>
      </w:r>
      <w:r w:rsidR="004060C1" w:rsidRPr="00BB1AF0">
        <w:rPr>
          <w:bCs/>
          <w:szCs w:val="24"/>
        </w:rPr>
        <w:t xml:space="preserve"> </w:t>
      </w:r>
    </w:p>
    <w:p w14:paraId="05FE6332" w14:textId="41294582" w:rsidR="00BB1AF0" w:rsidRDefault="00BB1AF0" w:rsidP="00BB1AF0">
      <w:pPr>
        <w:mirrorIndents/>
        <w:rPr>
          <w:bCs/>
          <w:szCs w:val="24"/>
        </w:rPr>
      </w:pPr>
    </w:p>
    <w:p w14:paraId="675C6A69" w14:textId="11F19741" w:rsidR="00BB1AF0" w:rsidRPr="00BB1AF0" w:rsidRDefault="00BB1AF0" w:rsidP="00BB1AF0">
      <w:pPr>
        <w:mirrorIndents/>
        <w:rPr>
          <w:rFonts w:ascii="Calibri" w:hAnsi="Calibri"/>
          <w:sz w:val="22"/>
          <w:szCs w:val="20"/>
        </w:rPr>
      </w:pPr>
      <w:r>
        <w:rPr>
          <w:bCs/>
          <w:szCs w:val="24"/>
        </w:rPr>
        <w:t>2. Az épületben legalább 2</w:t>
      </w:r>
      <w:r w:rsidRPr="00BB1AF0">
        <w:rPr>
          <w:bCs/>
          <w:szCs w:val="24"/>
        </w:rPr>
        <w:t xml:space="preserve"> db MSZ EN 3 szabvány szerint gyártott, 21A 18</w:t>
      </w:r>
      <w:r>
        <w:rPr>
          <w:bCs/>
          <w:szCs w:val="24"/>
        </w:rPr>
        <w:t>3B</w:t>
      </w:r>
      <w:r w:rsidRPr="00BB1AF0">
        <w:rPr>
          <w:bCs/>
          <w:szCs w:val="24"/>
        </w:rPr>
        <w:t xml:space="preserve"> vizsgálati tüzek oltására alkalmas hordozható </w:t>
      </w:r>
      <w:r w:rsidRPr="00BB1AF0">
        <w:rPr>
          <w:bCs/>
          <w:szCs w:val="24"/>
          <w:u w:val="single"/>
        </w:rPr>
        <w:t>habbal oltó</w:t>
      </w:r>
      <w:r>
        <w:rPr>
          <w:bCs/>
          <w:szCs w:val="24"/>
        </w:rPr>
        <w:t xml:space="preserve"> </w:t>
      </w:r>
      <w:r w:rsidRPr="00BB1AF0">
        <w:rPr>
          <w:bCs/>
          <w:szCs w:val="24"/>
        </w:rPr>
        <w:t>tűzoltó készüléket kell készenlétben tartani.</w:t>
      </w:r>
    </w:p>
    <w:p w14:paraId="1E7DAE87" w14:textId="588F24FB" w:rsidR="00C00960" w:rsidRPr="00670579" w:rsidRDefault="00C00960" w:rsidP="00C00960">
      <w:pPr>
        <w:mirrorIndents/>
        <w:rPr>
          <w:szCs w:val="20"/>
        </w:rPr>
      </w:pPr>
    </w:p>
    <w:p w14:paraId="563ACDC7" w14:textId="6D031F1C" w:rsidR="00C00960" w:rsidRPr="00670579" w:rsidRDefault="001A6B4C" w:rsidP="001A6B4C">
      <w:pPr>
        <w:tabs>
          <w:tab w:val="left" w:pos="6237"/>
        </w:tabs>
        <w:contextualSpacing/>
        <w:mirrorIndents/>
        <w:rPr>
          <w:szCs w:val="20"/>
        </w:rPr>
      </w:pPr>
      <w:r w:rsidRPr="00670579">
        <w:rPr>
          <w:b/>
          <w:szCs w:val="20"/>
        </w:rPr>
        <w:t>Határidő:</w:t>
      </w:r>
      <w:r w:rsidR="00524857" w:rsidRPr="00670579">
        <w:rPr>
          <w:szCs w:val="20"/>
        </w:rPr>
        <w:t xml:space="preserve"> </w:t>
      </w:r>
      <w:r w:rsidR="00593833" w:rsidRPr="00670579">
        <w:rPr>
          <w:szCs w:val="20"/>
        </w:rPr>
        <w:t>A tárgyi épület használatbavételére irányuló kérelemének benyújtásáig, majd azt követően folyamatosan.</w:t>
      </w:r>
    </w:p>
    <w:p w14:paraId="2FD881FC" w14:textId="41195B66" w:rsidR="00593833" w:rsidRPr="00670579" w:rsidRDefault="00593833" w:rsidP="00593833">
      <w:pPr>
        <w:spacing w:before="120" w:after="120"/>
        <w:rPr>
          <w:rFonts w:eastAsia="Calibri"/>
          <w:bCs/>
          <w:szCs w:val="24"/>
        </w:rPr>
      </w:pPr>
      <w:r w:rsidRPr="00670579">
        <w:rPr>
          <w:rFonts w:eastAsia="Calibri"/>
          <w:bCs/>
          <w:szCs w:val="24"/>
        </w:rPr>
        <w:t>Az eljárás illetékmentes, eljárási költséget az Ügyfél terhére nem állapítok meg.</w:t>
      </w:r>
    </w:p>
    <w:p w14:paraId="04D435F2" w14:textId="353C93E1" w:rsidR="009C4C47" w:rsidRPr="00670579" w:rsidRDefault="009C4C47" w:rsidP="009C4C47">
      <w:pPr>
        <w:tabs>
          <w:tab w:val="left" w:leader="dot" w:pos="10198"/>
        </w:tabs>
        <w:rPr>
          <w:rFonts w:eastAsia="Calibri" w:cs="Times New Roman"/>
          <w:szCs w:val="24"/>
        </w:rPr>
      </w:pPr>
      <w:r w:rsidRPr="00670579">
        <w:rPr>
          <w:rFonts w:eastAsia="Calibri" w:cs="Times New Roman"/>
          <w:szCs w:val="24"/>
        </w:rPr>
        <w:t>A döntés hirdetményi úton kerül közlésre. A közlés jogkövetkezményei a hirdetményi úton történő közléshez kapcsolódóan állnak be. A döntés közlésének napja a hirdetmény kifüggesztését követő 5. nap.</w:t>
      </w:r>
    </w:p>
    <w:p w14:paraId="1FFF6782" w14:textId="77777777" w:rsidR="00593833" w:rsidRPr="00670579" w:rsidRDefault="00593833" w:rsidP="009C4C47">
      <w:pPr>
        <w:spacing w:before="120" w:after="120"/>
        <w:rPr>
          <w:szCs w:val="24"/>
        </w:rPr>
      </w:pPr>
      <w:r w:rsidRPr="00670579">
        <w:rPr>
          <w:szCs w:val="24"/>
        </w:rPr>
        <w:t>Határozatom nem, vagy nem megfelelő végrehajtása esetén az eltéréssel érintett jogszabályi előírás lép életbe, az abban meghatározott követelményeket kell teljesíteni.</w:t>
      </w:r>
    </w:p>
    <w:p w14:paraId="0B33DECE" w14:textId="2E075B7D" w:rsidR="002C074C" w:rsidRPr="00670579" w:rsidRDefault="00593833" w:rsidP="00C57DF0">
      <w:pPr>
        <w:spacing w:after="120"/>
        <w:rPr>
          <w:rFonts w:eastAsia="Calibri"/>
          <w:szCs w:val="24"/>
        </w:rPr>
      </w:pPr>
      <w:r w:rsidRPr="00670579">
        <w:rPr>
          <w:rFonts w:eastAsia="Calibri"/>
          <w:szCs w:val="24"/>
        </w:rPr>
        <w:t>Határozatom ellen fellebbezésnek helye nincs, az a közléssel véglegessé válik. Az ügyfél a határozat ellen, annak közlésétől számított 30 napon belül közigazgatási pert indíthat a Szegedi Törvényszéknek címzett, de az első fokú döntést hozó hatósághoz benyújtott keresettel. A közigazgatási per illetéke 30</w:t>
      </w:r>
      <w:r w:rsidR="00EB6693" w:rsidRPr="00670579">
        <w:rPr>
          <w:rFonts w:eastAsia="Calibri"/>
          <w:szCs w:val="24"/>
        </w:rPr>
        <w:t>.</w:t>
      </w:r>
      <w:r w:rsidRPr="00670579">
        <w:rPr>
          <w:rFonts w:eastAsia="Calibri"/>
          <w:szCs w:val="24"/>
        </w:rPr>
        <w:t>000 forint.</w:t>
      </w:r>
    </w:p>
    <w:p w14:paraId="547581B0" w14:textId="5E9E75C1" w:rsidR="00EB6693" w:rsidRPr="00670579" w:rsidRDefault="00EB6693" w:rsidP="00C57DF0">
      <w:pPr>
        <w:spacing w:after="120"/>
        <w:rPr>
          <w:rFonts w:eastAsia="Calibri"/>
          <w:szCs w:val="24"/>
        </w:rPr>
      </w:pPr>
    </w:p>
    <w:p w14:paraId="21C12760" w14:textId="3AECE947" w:rsidR="00EB6693" w:rsidRPr="00670579" w:rsidRDefault="00EB6693" w:rsidP="00C57DF0">
      <w:pPr>
        <w:spacing w:after="120"/>
        <w:rPr>
          <w:rFonts w:eastAsia="Calibri"/>
          <w:szCs w:val="24"/>
        </w:rPr>
      </w:pPr>
    </w:p>
    <w:p w14:paraId="2F709C89" w14:textId="5A3B18E0" w:rsidR="00EB6693" w:rsidRPr="00670579" w:rsidRDefault="001A6B4C" w:rsidP="004060C1">
      <w:pPr>
        <w:tabs>
          <w:tab w:val="left" w:pos="6237"/>
        </w:tabs>
        <w:contextualSpacing/>
        <w:mirrorIndents/>
        <w:jc w:val="center"/>
        <w:rPr>
          <w:b/>
          <w:szCs w:val="20"/>
        </w:rPr>
      </w:pPr>
      <w:r w:rsidRPr="00670579">
        <w:rPr>
          <w:b/>
          <w:szCs w:val="20"/>
        </w:rPr>
        <w:t>INDOKOLÁS</w:t>
      </w:r>
    </w:p>
    <w:p w14:paraId="28363174" w14:textId="77777777" w:rsidR="00C00960" w:rsidRPr="00670579" w:rsidRDefault="00C00960" w:rsidP="00C00960">
      <w:pPr>
        <w:tabs>
          <w:tab w:val="left" w:pos="6237"/>
        </w:tabs>
        <w:contextualSpacing/>
        <w:mirrorIndents/>
        <w:rPr>
          <w:szCs w:val="20"/>
        </w:rPr>
      </w:pPr>
    </w:p>
    <w:p w14:paraId="3A67227C" w14:textId="695FBA65" w:rsidR="00593833" w:rsidRPr="00670579" w:rsidRDefault="00593833" w:rsidP="00593833">
      <w:pPr>
        <w:tabs>
          <w:tab w:val="left" w:pos="4962"/>
        </w:tabs>
        <w:spacing w:before="120" w:after="120"/>
        <w:rPr>
          <w:rFonts w:eastAsia="Calibri"/>
          <w:szCs w:val="24"/>
        </w:rPr>
      </w:pPr>
      <w:r w:rsidRPr="00670579">
        <w:rPr>
          <w:rFonts w:eastAsia="Calibri" w:cs="Times New Roman"/>
          <w:szCs w:val="24"/>
        </w:rPr>
        <w:t xml:space="preserve">Az Ügyfél </w:t>
      </w:r>
      <w:r w:rsidR="00632AFF" w:rsidRPr="00670579">
        <w:rPr>
          <w:rFonts w:eastAsia="Calibri" w:cs="Times New Roman"/>
          <w:szCs w:val="24"/>
        </w:rPr>
        <w:t>meghatalmazásában</w:t>
      </w:r>
      <w:r w:rsidR="00C57DF0" w:rsidRPr="00670579">
        <w:rPr>
          <w:rFonts w:eastAsia="Calibri" w:cs="Times New Roman"/>
          <w:szCs w:val="24"/>
        </w:rPr>
        <w:t xml:space="preserve"> a Kérelmező</w:t>
      </w:r>
      <w:r w:rsidRPr="00670579">
        <w:rPr>
          <w:rFonts w:eastAsia="Calibri" w:cs="Times New Roman"/>
          <w:szCs w:val="24"/>
        </w:rPr>
        <w:t xml:space="preserve"> </w:t>
      </w:r>
      <w:r w:rsidRPr="00670579">
        <w:rPr>
          <w:rFonts w:eastAsia="Calibri"/>
          <w:szCs w:val="24"/>
        </w:rPr>
        <w:t>kérelemmel fordult a tűzvédelmi hatósághoz</w:t>
      </w:r>
      <w:r w:rsidR="007B09CB">
        <w:rPr>
          <w:rFonts w:eastAsia="Calibri"/>
          <w:szCs w:val="24"/>
        </w:rPr>
        <w:t xml:space="preserve"> 2021. szeptember</w:t>
      </w:r>
      <w:r w:rsidR="00C57DF0" w:rsidRPr="00670579">
        <w:rPr>
          <w:rFonts w:eastAsia="Calibri"/>
          <w:szCs w:val="24"/>
        </w:rPr>
        <w:t xml:space="preserve"> 2</w:t>
      </w:r>
      <w:r w:rsidR="007B09CB">
        <w:rPr>
          <w:rFonts w:eastAsia="Calibri"/>
          <w:szCs w:val="24"/>
        </w:rPr>
        <w:t>4</w:t>
      </w:r>
      <w:r w:rsidRPr="00670579">
        <w:rPr>
          <w:rFonts w:eastAsia="Calibri"/>
          <w:szCs w:val="24"/>
        </w:rPr>
        <w:t xml:space="preserve">-én, melyben az Országos Tűzvédelmi Szabályzatról szóló 54/2014. (XII.5.) BM rendelet (a továbbiakban: OTSZ) </w:t>
      </w:r>
      <w:r w:rsidR="004060C1" w:rsidRPr="00670579">
        <w:rPr>
          <w:rFonts w:eastAsia="Calibri"/>
          <w:szCs w:val="24"/>
        </w:rPr>
        <w:t>79. § (7</w:t>
      </w:r>
      <w:r w:rsidR="00632AFF" w:rsidRPr="00670579">
        <w:rPr>
          <w:rFonts w:eastAsia="Calibri"/>
          <w:szCs w:val="24"/>
        </w:rPr>
        <w:t xml:space="preserve">) bekezdésében </w:t>
      </w:r>
      <w:r w:rsidRPr="00670579">
        <w:rPr>
          <w:rFonts w:eastAsia="Calibri"/>
          <w:szCs w:val="24"/>
        </w:rPr>
        <w:t>foglaltak alóli eltérés engedélyezését kérte.</w:t>
      </w:r>
      <w:r w:rsidR="006B60AE" w:rsidRPr="00670579">
        <w:rPr>
          <w:rFonts w:eastAsia="Calibri"/>
          <w:szCs w:val="24"/>
        </w:rPr>
        <w:t xml:space="preserve"> </w:t>
      </w:r>
    </w:p>
    <w:p w14:paraId="21A2B0B0" w14:textId="4EC873E7" w:rsidR="00593833" w:rsidRPr="00670579" w:rsidRDefault="00295995" w:rsidP="00593833">
      <w:pPr>
        <w:tabs>
          <w:tab w:val="left" w:pos="4962"/>
        </w:tabs>
        <w:spacing w:before="120" w:after="120"/>
        <w:rPr>
          <w:rFonts w:eastAsia="Calibri"/>
          <w:szCs w:val="24"/>
        </w:rPr>
      </w:pPr>
      <w:r w:rsidRPr="00670579">
        <w:rPr>
          <w:rFonts w:eastAsia="Calibri"/>
          <w:szCs w:val="24"/>
        </w:rPr>
        <w:t xml:space="preserve">Az OTSZ </w:t>
      </w:r>
      <w:r w:rsidR="00632AFF" w:rsidRPr="00670579">
        <w:rPr>
          <w:rFonts w:eastAsia="Calibri"/>
          <w:szCs w:val="24"/>
        </w:rPr>
        <w:t>79. § (7</w:t>
      </w:r>
      <w:r w:rsidR="004060C1" w:rsidRPr="00670579">
        <w:rPr>
          <w:rFonts w:eastAsia="Calibri"/>
          <w:szCs w:val="24"/>
        </w:rPr>
        <w:t>) bekezdése</w:t>
      </w:r>
      <w:r w:rsidR="00593833" w:rsidRPr="00670579">
        <w:rPr>
          <w:rFonts w:eastAsia="Calibri"/>
          <w:szCs w:val="24"/>
        </w:rPr>
        <w:t xml:space="preserve"> szerint: </w:t>
      </w:r>
      <w:r w:rsidR="00593833" w:rsidRPr="00670579">
        <w:rPr>
          <w:rFonts w:eastAsia="Calibri"/>
          <w:i/>
          <w:szCs w:val="24"/>
        </w:rPr>
        <w:t>„</w:t>
      </w:r>
      <w:r w:rsidR="004060C1" w:rsidRPr="00670579">
        <w:rPr>
          <w:rFonts w:eastAsia="Calibri"/>
          <w:i/>
          <w:szCs w:val="24"/>
        </w:rPr>
        <w:t>A fali tűzcsapokat úgy kell elhelyezni, hogy azok a legtávolabbi hely oltását is tudják biztosítani – a megközelítési utat tömlőfektetési nyomvonalon kell figyelembe venni –, valamint a fali tűzcsapok lefedjék a tűzszakasz teljes területét. Egy helyiségen belül 5 méter vízsugár figyelembe vehető, ha azt építményszerkezet vagy beépített bútor, berendezés nem akadályozza.</w:t>
      </w:r>
      <w:r w:rsidR="00593833" w:rsidRPr="00670579">
        <w:rPr>
          <w:rFonts w:eastAsia="Calibri"/>
          <w:i/>
          <w:szCs w:val="24"/>
        </w:rPr>
        <w:t>”</w:t>
      </w:r>
    </w:p>
    <w:p w14:paraId="796107E8" w14:textId="02F12537" w:rsidR="00593833" w:rsidRPr="00670579" w:rsidRDefault="002A0902" w:rsidP="00593833">
      <w:pPr>
        <w:tabs>
          <w:tab w:val="left" w:pos="4962"/>
        </w:tabs>
        <w:spacing w:before="120" w:after="120"/>
        <w:rPr>
          <w:rFonts w:eastAsia="Calibri"/>
          <w:szCs w:val="24"/>
        </w:rPr>
      </w:pPr>
      <w:r>
        <w:rPr>
          <w:rFonts w:eastAsia="Calibri"/>
          <w:szCs w:val="24"/>
        </w:rPr>
        <w:t>A Kérelmező</w:t>
      </w:r>
      <w:r w:rsidR="00593833" w:rsidRPr="00670579">
        <w:rPr>
          <w:rFonts w:eastAsia="Calibri"/>
          <w:szCs w:val="24"/>
        </w:rPr>
        <w:t xml:space="preserve"> eljárási jogosultsága igazolva lett.</w:t>
      </w:r>
      <w:r w:rsidR="004F41BF" w:rsidRPr="00670579">
        <w:rPr>
          <w:rFonts w:eastAsia="Calibri"/>
          <w:szCs w:val="24"/>
        </w:rPr>
        <w:t xml:space="preserve"> </w:t>
      </w:r>
    </w:p>
    <w:p w14:paraId="0C1EB8A5" w14:textId="6AA7D15E" w:rsidR="00D03E32" w:rsidRPr="00F343A4" w:rsidRDefault="004F41BF" w:rsidP="00653EA4">
      <w:pPr>
        <w:tabs>
          <w:tab w:val="left" w:pos="4962"/>
        </w:tabs>
        <w:spacing w:before="120" w:after="120"/>
        <w:rPr>
          <w:rFonts w:eastAsia="Calibri"/>
          <w:szCs w:val="24"/>
        </w:rPr>
      </w:pPr>
      <w:r w:rsidRPr="00A05815">
        <w:rPr>
          <w:rFonts w:eastAsia="Calibri"/>
          <w:szCs w:val="24"/>
        </w:rPr>
        <w:t>Az Ügyfél</w:t>
      </w:r>
      <w:r w:rsidR="00653EA4" w:rsidRPr="00A05815">
        <w:rPr>
          <w:rFonts w:eastAsia="Calibri"/>
          <w:szCs w:val="24"/>
        </w:rPr>
        <w:t xml:space="preserve"> kérelmében előadta, hogy a </w:t>
      </w:r>
      <w:r w:rsidR="00A05815" w:rsidRPr="00A05815">
        <w:rPr>
          <w:rFonts w:eastAsia="Calibri"/>
          <w:szCs w:val="24"/>
        </w:rPr>
        <w:t>6000 Kecskemét, Olimpia utca 10208/21. hrsz</w:t>
      </w:r>
      <w:r w:rsidR="00FC27CA" w:rsidRPr="00A05815">
        <w:rPr>
          <w:rFonts w:eastAsia="Calibri"/>
          <w:szCs w:val="24"/>
        </w:rPr>
        <w:t>.</w:t>
      </w:r>
      <w:r w:rsidR="00653EA4" w:rsidRPr="00A05815">
        <w:rPr>
          <w:rFonts w:eastAsia="Calibri"/>
          <w:szCs w:val="24"/>
        </w:rPr>
        <w:t xml:space="preserve"> alatti ingatlan terület</w:t>
      </w:r>
      <w:r w:rsidR="006B60AE" w:rsidRPr="00A05815">
        <w:rPr>
          <w:rFonts w:eastAsia="Calibri"/>
          <w:szCs w:val="24"/>
        </w:rPr>
        <w:t>én létesítendő</w:t>
      </w:r>
      <w:r w:rsidR="00653EA4" w:rsidRPr="00A05815">
        <w:rPr>
          <w:rFonts w:eastAsia="Calibri"/>
          <w:szCs w:val="24"/>
        </w:rPr>
        <w:t xml:space="preserve"> </w:t>
      </w:r>
      <w:r w:rsidR="00A05815" w:rsidRPr="00A05815">
        <w:rPr>
          <w:rFonts w:eastAsia="Calibri"/>
          <w:szCs w:val="24"/>
        </w:rPr>
        <w:t>Honvédelmi Sportközpont</w:t>
      </w:r>
      <w:r w:rsidR="006B60AE" w:rsidRPr="00A05815">
        <w:rPr>
          <w:rFonts w:eastAsia="Calibri"/>
          <w:szCs w:val="24"/>
        </w:rPr>
        <w:t xml:space="preserve"> </w:t>
      </w:r>
      <w:r w:rsidR="00C76098" w:rsidRPr="00A05815">
        <w:rPr>
          <w:rFonts w:eastAsia="Calibri"/>
          <w:szCs w:val="24"/>
        </w:rPr>
        <w:t xml:space="preserve">1 tűzszakaszként </w:t>
      </w:r>
      <w:r w:rsidR="00A05815" w:rsidRPr="00A05815">
        <w:rPr>
          <w:rFonts w:eastAsia="Calibri"/>
          <w:szCs w:val="24"/>
        </w:rPr>
        <w:t>1735</w:t>
      </w:r>
      <w:r w:rsidR="00653EA4" w:rsidRPr="00A05815">
        <w:rPr>
          <w:rFonts w:eastAsia="Calibri"/>
          <w:szCs w:val="24"/>
        </w:rPr>
        <w:t xml:space="preserve"> m</w:t>
      </w:r>
      <w:r w:rsidR="00653EA4" w:rsidRPr="00A05815">
        <w:rPr>
          <w:rFonts w:eastAsia="Calibri"/>
          <w:szCs w:val="24"/>
          <w:vertAlign w:val="superscript"/>
        </w:rPr>
        <w:t>2</w:t>
      </w:r>
      <w:r w:rsidR="006B60AE" w:rsidRPr="00A05815">
        <w:rPr>
          <w:rFonts w:eastAsia="Calibri"/>
          <w:szCs w:val="24"/>
        </w:rPr>
        <w:t xml:space="preserve"> alapterülettel</w:t>
      </w:r>
      <w:r w:rsidR="00C76098" w:rsidRPr="00A05815">
        <w:rPr>
          <w:rFonts w:eastAsia="Calibri"/>
          <w:szCs w:val="24"/>
        </w:rPr>
        <w:t xml:space="preserve"> fog megépülni</w:t>
      </w:r>
      <w:r w:rsidR="006B60AE" w:rsidRPr="00A05815">
        <w:rPr>
          <w:rFonts w:eastAsia="Calibri"/>
          <w:szCs w:val="24"/>
        </w:rPr>
        <w:t xml:space="preserve">, AK mértékadó kockázati osztályba </w:t>
      </w:r>
      <w:r w:rsidR="00C76098" w:rsidRPr="00A05815">
        <w:rPr>
          <w:rFonts w:eastAsia="Calibri"/>
          <w:szCs w:val="24"/>
        </w:rPr>
        <w:t>sorolták be</w:t>
      </w:r>
      <w:r w:rsidR="006B60AE" w:rsidRPr="00A05815">
        <w:rPr>
          <w:rFonts w:eastAsia="Calibri"/>
          <w:szCs w:val="24"/>
        </w:rPr>
        <w:t xml:space="preserve">. </w:t>
      </w:r>
      <w:r w:rsidR="00A05815" w:rsidRPr="00A05815">
        <w:rPr>
          <w:rFonts w:eastAsia="Calibri"/>
          <w:szCs w:val="24"/>
        </w:rPr>
        <w:t xml:space="preserve">A létesítményben </w:t>
      </w:r>
      <w:r w:rsidR="006B60AE" w:rsidRPr="00A05815">
        <w:rPr>
          <w:rFonts w:eastAsia="Calibri"/>
          <w:szCs w:val="24"/>
        </w:rPr>
        <w:t>földszi</w:t>
      </w:r>
      <w:r w:rsidR="00A05815" w:rsidRPr="00A05815">
        <w:rPr>
          <w:rFonts w:eastAsia="Calibri"/>
          <w:szCs w:val="24"/>
        </w:rPr>
        <w:t>nt, és emelet</w:t>
      </w:r>
      <w:r w:rsidR="00D03E32" w:rsidRPr="00A05815">
        <w:rPr>
          <w:rFonts w:eastAsia="Calibri"/>
          <w:szCs w:val="24"/>
        </w:rPr>
        <w:t xml:space="preserve"> lesz kialakítva</w:t>
      </w:r>
      <w:r w:rsidR="00A05815" w:rsidRPr="00A05815">
        <w:rPr>
          <w:rFonts w:eastAsia="Calibri"/>
          <w:szCs w:val="24"/>
        </w:rPr>
        <w:t>, sport-lőtéri funkcióval fog működni</w:t>
      </w:r>
      <w:r w:rsidR="00D03E32" w:rsidRPr="002A0902">
        <w:rPr>
          <w:rFonts w:eastAsia="Calibri"/>
          <w:szCs w:val="24"/>
        </w:rPr>
        <w:t xml:space="preserve">. Az épület </w:t>
      </w:r>
      <w:r w:rsidR="002A0902" w:rsidRPr="002A0902">
        <w:rPr>
          <w:rFonts w:eastAsia="Calibri"/>
          <w:szCs w:val="24"/>
        </w:rPr>
        <w:t xml:space="preserve">monolit </w:t>
      </w:r>
      <w:r w:rsidR="00D03E32" w:rsidRPr="002A0902">
        <w:rPr>
          <w:rFonts w:eastAsia="Calibri"/>
          <w:szCs w:val="24"/>
        </w:rPr>
        <w:t xml:space="preserve">vasbeton födémszerkezettel, fa tetőszerkezettel fog elkészülni. Az épület </w:t>
      </w:r>
      <w:r w:rsidR="002A0902" w:rsidRPr="002A0902">
        <w:rPr>
          <w:rFonts w:eastAsia="Calibri"/>
          <w:szCs w:val="24"/>
        </w:rPr>
        <w:t>falai</w:t>
      </w:r>
      <w:r w:rsidR="00D03E32" w:rsidRPr="002A0902">
        <w:rPr>
          <w:rFonts w:eastAsia="Calibri"/>
          <w:szCs w:val="24"/>
        </w:rPr>
        <w:t xml:space="preserve"> </w:t>
      </w:r>
      <w:r w:rsidR="002A0902" w:rsidRPr="002A0902">
        <w:rPr>
          <w:rFonts w:eastAsia="Calibri"/>
          <w:szCs w:val="24"/>
        </w:rPr>
        <w:t xml:space="preserve">vázkerámia </w:t>
      </w:r>
      <w:r w:rsidR="00D03E32" w:rsidRPr="002A0902">
        <w:rPr>
          <w:rFonts w:eastAsia="Calibri"/>
          <w:szCs w:val="24"/>
        </w:rPr>
        <w:t>blokktégla szerkezetből fognak elkészülni, valamint teherhordó pill</w:t>
      </w:r>
      <w:r w:rsidR="002A0902" w:rsidRPr="002A0902">
        <w:rPr>
          <w:rFonts w:eastAsia="Calibri"/>
          <w:szCs w:val="24"/>
        </w:rPr>
        <w:t>érként vasbeton és tűzvédő festéssel kezelt acél</w:t>
      </w:r>
      <w:r w:rsidR="00D03E32" w:rsidRPr="002A0902">
        <w:rPr>
          <w:rFonts w:eastAsia="Calibri"/>
          <w:szCs w:val="24"/>
        </w:rPr>
        <w:t xml:space="preserve"> tartóoszlopokat fognak alkalmazni. </w:t>
      </w:r>
    </w:p>
    <w:p w14:paraId="531391B0" w14:textId="63F11AFD" w:rsidR="00D03E32" w:rsidRPr="00A05815" w:rsidRDefault="00D03E32" w:rsidP="00653EA4">
      <w:pPr>
        <w:tabs>
          <w:tab w:val="left" w:pos="4962"/>
        </w:tabs>
        <w:spacing w:before="120" w:after="120"/>
        <w:rPr>
          <w:rFonts w:eastAsia="Calibri"/>
          <w:szCs w:val="24"/>
        </w:rPr>
      </w:pPr>
      <w:r w:rsidRPr="00A05815">
        <w:rPr>
          <w:rFonts w:eastAsia="Calibri"/>
          <w:szCs w:val="24"/>
        </w:rPr>
        <w:t xml:space="preserve">Az OTSZ 79. § (1) bekezdésének c) pontja szerint: </w:t>
      </w:r>
      <w:r w:rsidRPr="00A05815">
        <w:rPr>
          <w:rFonts w:eastAsia="Calibri"/>
          <w:i/>
          <w:szCs w:val="24"/>
        </w:rPr>
        <w:t>„az MK kockázati osztályba tartozó kockázati egység 200 m</w:t>
      </w:r>
      <w:r w:rsidRPr="00A05815">
        <w:rPr>
          <w:rFonts w:eastAsia="Calibri"/>
          <w:szCs w:val="24"/>
          <w:vertAlign w:val="superscript"/>
        </w:rPr>
        <w:t>2</w:t>
      </w:r>
      <w:r w:rsidRPr="00A05815">
        <w:rPr>
          <w:rFonts w:eastAsia="Calibri"/>
          <w:i/>
          <w:szCs w:val="24"/>
        </w:rPr>
        <w:t>-nél, a KK kockázati osztályba tartozó kockázati egység 500 m</w:t>
      </w:r>
      <w:r w:rsidRPr="00A05815">
        <w:rPr>
          <w:rFonts w:eastAsia="Calibri"/>
          <w:szCs w:val="24"/>
          <w:vertAlign w:val="superscript"/>
        </w:rPr>
        <w:t>2</w:t>
      </w:r>
      <w:r w:rsidRPr="00A05815">
        <w:rPr>
          <w:rFonts w:eastAsia="Calibri"/>
          <w:i/>
          <w:szCs w:val="24"/>
        </w:rPr>
        <w:t>-nél és az AK kockázati osztályba tartozó kockázati egység 1000 m</w:t>
      </w:r>
      <w:r w:rsidRPr="00A05815">
        <w:rPr>
          <w:rFonts w:eastAsia="Calibri"/>
          <w:szCs w:val="24"/>
          <w:vertAlign w:val="superscript"/>
        </w:rPr>
        <w:t>2</w:t>
      </w:r>
      <w:r w:rsidRPr="00A05815">
        <w:rPr>
          <w:rFonts w:eastAsia="Calibri"/>
          <w:i/>
          <w:szCs w:val="24"/>
        </w:rPr>
        <w:t>-nél nagyobb alapterületű tűzszakaszában.”</w:t>
      </w:r>
    </w:p>
    <w:p w14:paraId="4DF3FE18" w14:textId="369862B1" w:rsidR="00653EA4" w:rsidRPr="00A05815" w:rsidRDefault="004F41BF" w:rsidP="00653EA4">
      <w:pPr>
        <w:tabs>
          <w:tab w:val="left" w:pos="4962"/>
        </w:tabs>
        <w:spacing w:before="120" w:after="120"/>
        <w:rPr>
          <w:rFonts w:eastAsia="Calibri"/>
          <w:szCs w:val="24"/>
        </w:rPr>
      </w:pPr>
      <w:r w:rsidRPr="00A05815">
        <w:rPr>
          <w:rFonts w:eastAsia="Calibri"/>
          <w:szCs w:val="24"/>
        </w:rPr>
        <w:t>Az Ügyfél az eltérési engedély kérelmét azért terjesztette elő, mert nyilatkozata alapján</w:t>
      </w:r>
      <w:r w:rsidR="00C76098" w:rsidRPr="00A05815">
        <w:rPr>
          <w:rFonts w:eastAsia="Calibri"/>
          <w:szCs w:val="24"/>
        </w:rPr>
        <w:t xml:space="preserve"> </w:t>
      </w:r>
      <w:r w:rsidR="00A05815" w:rsidRPr="00A05815">
        <w:rPr>
          <w:rFonts w:eastAsia="Calibri"/>
          <w:szCs w:val="24"/>
        </w:rPr>
        <w:t>a fűtetlen lőterületen a fali</w:t>
      </w:r>
      <w:r w:rsidR="002A0902">
        <w:rPr>
          <w:rFonts w:eastAsia="Calibri"/>
          <w:szCs w:val="24"/>
        </w:rPr>
        <w:t xml:space="preserve"> </w:t>
      </w:r>
      <w:r w:rsidR="00A05815" w:rsidRPr="00A05815">
        <w:rPr>
          <w:rFonts w:eastAsia="Calibri"/>
          <w:szCs w:val="24"/>
        </w:rPr>
        <w:t>tűzcsapok téli időszakra vonatkozó állandó fűtésének kialakítása és üzemeltetése aránytalanul nagy többletköltséget jelent</w:t>
      </w:r>
      <w:r w:rsidR="00A05815">
        <w:rPr>
          <w:rFonts w:eastAsia="Calibri"/>
          <w:szCs w:val="24"/>
        </w:rPr>
        <w:t>ene</w:t>
      </w:r>
      <w:r w:rsidRPr="00A05815">
        <w:rPr>
          <w:rFonts w:eastAsia="Calibri"/>
          <w:szCs w:val="24"/>
        </w:rPr>
        <w:t xml:space="preserve">. </w:t>
      </w:r>
      <w:r w:rsidR="00653EA4" w:rsidRPr="00A05815">
        <w:rPr>
          <w:rFonts w:eastAsia="Calibri"/>
          <w:szCs w:val="24"/>
        </w:rPr>
        <w:t xml:space="preserve"> </w:t>
      </w:r>
    </w:p>
    <w:p w14:paraId="342D85A2" w14:textId="77777777" w:rsidR="002A0902" w:rsidRDefault="009C4C47" w:rsidP="00295995">
      <w:pPr>
        <w:tabs>
          <w:tab w:val="left" w:pos="4962"/>
        </w:tabs>
        <w:spacing w:before="120" w:after="120"/>
        <w:rPr>
          <w:rFonts w:eastAsia="Calibri"/>
          <w:szCs w:val="24"/>
        </w:rPr>
      </w:pPr>
      <w:r w:rsidRPr="00A05815">
        <w:rPr>
          <w:rFonts w:eastAsia="Calibri"/>
          <w:szCs w:val="24"/>
        </w:rPr>
        <w:t>A rende</w:t>
      </w:r>
      <w:r w:rsidR="00FC27CA" w:rsidRPr="00A05815">
        <w:rPr>
          <w:rFonts w:eastAsia="Calibri"/>
          <w:szCs w:val="24"/>
        </w:rPr>
        <w:t>lkező részben előírt, legalább 4</w:t>
      </w:r>
      <w:r w:rsidRPr="00A05815">
        <w:rPr>
          <w:rFonts w:eastAsia="Calibri"/>
          <w:szCs w:val="24"/>
        </w:rPr>
        <w:t xml:space="preserve"> db MSZ EN 3 szabvány szerint gyártott </w:t>
      </w:r>
      <w:r w:rsidR="00FC27CA" w:rsidRPr="00A05815">
        <w:rPr>
          <w:rFonts w:eastAsia="Calibri"/>
          <w:szCs w:val="24"/>
        </w:rPr>
        <w:t>27A 133B C</w:t>
      </w:r>
      <w:r w:rsidRPr="00A05815">
        <w:rPr>
          <w:rFonts w:eastAsia="Calibri"/>
          <w:szCs w:val="24"/>
        </w:rPr>
        <w:t xml:space="preserve"> vizsgálati tüzek oltására alkalmas hordozható tűzoltó készülék – mint ellensúlyozó intézkedés – alkalmas a tárgyi épületben esetlegesen keletkező tüzek kezdeti fázisban történő oltására, korai szakaszban történő tovább terjedésének megakadályozá</w:t>
      </w:r>
      <w:r w:rsidR="00FC27CA" w:rsidRPr="00A05815">
        <w:rPr>
          <w:rFonts w:eastAsia="Calibri"/>
          <w:szCs w:val="24"/>
        </w:rPr>
        <w:t xml:space="preserve">sára. </w:t>
      </w:r>
    </w:p>
    <w:p w14:paraId="6445E1A2" w14:textId="0D27EB40" w:rsidR="002A0902" w:rsidRDefault="002A0902" w:rsidP="00295995">
      <w:pPr>
        <w:tabs>
          <w:tab w:val="left" w:pos="4962"/>
        </w:tabs>
        <w:spacing w:before="120" w:after="120"/>
        <w:rPr>
          <w:rFonts w:eastAsia="Calibri"/>
          <w:szCs w:val="24"/>
        </w:rPr>
      </w:pPr>
      <w:r>
        <w:rPr>
          <w:rFonts w:eastAsia="Calibri"/>
          <w:szCs w:val="24"/>
        </w:rPr>
        <w:t>A rendelkező részben előírt, legalább 2</w:t>
      </w:r>
      <w:r w:rsidRPr="002A0902">
        <w:rPr>
          <w:rFonts w:eastAsia="Calibri"/>
          <w:szCs w:val="24"/>
        </w:rPr>
        <w:t xml:space="preserve"> db MSZ E</w:t>
      </w:r>
      <w:r>
        <w:rPr>
          <w:rFonts w:eastAsia="Calibri"/>
          <w:szCs w:val="24"/>
        </w:rPr>
        <w:t>N 3 szabvány szerint gyártott 21A 183B</w:t>
      </w:r>
      <w:r w:rsidRPr="002A0902">
        <w:rPr>
          <w:rFonts w:eastAsia="Calibri"/>
          <w:szCs w:val="24"/>
        </w:rPr>
        <w:t xml:space="preserve"> vizsgálati tüzek oltására alkalmas hordozható </w:t>
      </w:r>
      <w:r w:rsidR="00FA2472">
        <w:rPr>
          <w:rFonts w:eastAsia="Calibri"/>
          <w:szCs w:val="24"/>
        </w:rPr>
        <w:t xml:space="preserve">habbal oltó </w:t>
      </w:r>
      <w:r w:rsidRPr="002A0902">
        <w:rPr>
          <w:rFonts w:eastAsia="Calibri"/>
          <w:szCs w:val="24"/>
        </w:rPr>
        <w:t>tűzoltó készülék</w:t>
      </w:r>
      <w:r>
        <w:rPr>
          <w:rFonts w:eastAsia="Calibri"/>
          <w:szCs w:val="24"/>
        </w:rPr>
        <w:t xml:space="preserve"> – mint ellensúlyozó intézkedés – alkalmas a tárgyi épülethez tartozó </w:t>
      </w:r>
      <w:r w:rsidR="00FA2472">
        <w:rPr>
          <w:rFonts w:eastAsia="Calibri"/>
          <w:szCs w:val="24"/>
        </w:rPr>
        <w:t xml:space="preserve">fedett </w:t>
      </w:r>
      <w:r>
        <w:rPr>
          <w:rFonts w:eastAsia="Calibri"/>
          <w:szCs w:val="24"/>
        </w:rPr>
        <w:t>lőterületen lévő</w:t>
      </w:r>
      <w:r w:rsidR="00FA2472">
        <w:rPr>
          <w:rFonts w:eastAsia="Calibri"/>
          <w:szCs w:val="24"/>
        </w:rPr>
        <w:t xml:space="preserve"> öntött</w:t>
      </w:r>
      <w:r>
        <w:rPr>
          <w:rFonts w:eastAsia="Calibri"/>
          <w:szCs w:val="24"/>
        </w:rPr>
        <w:t xml:space="preserve"> gumiőrlemény</w:t>
      </w:r>
      <w:r w:rsidR="00FA2472">
        <w:rPr>
          <w:rFonts w:eastAsia="Calibri"/>
          <w:szCs w:val="24"/>
        </w:rPr>
        <w:t>hez köthető</w:t>
      </w:r>
      <w:r>
        <w:rPr>
          <w:rFonts w:eastAsia="Calibri"/>
          <w:szCs w:val="24"/>
        </w:rPr>
        <w:t xml:space="preserve"> esetlegesen keletkező</w:t>
      </w:r>
      <w:r w:rsidR="00FA2472">
        <w:rPr>
          <w:rFonts w:eastAsia="Calibri"/>
          <w:szCs w:val="24"/>
        </w:rPr>
        <w:t xml:space="preserve"> tüzek </w:t>
      </w:r>
      <w:r w:rsidR="00FA2472" w:rsidRPr="00FA2472">
        <w:rPr>
          <w:rFonts w:eastAsia="Calibri"/>
          <w:szCs w:val="24"/>
        </w:rPr>
        <w:t>kezdeti fázisban történő oltására, korai szakaszban történő tovább terjedésének megakadályozására.</w:t>
      </w:r>
      <w:r w:rsidRPr="002A0902">
        <w:rPr>
          <w:rFonts w:eastAsia="Calibri"/>
          <w:szCs w:val="24"/>
        </w:rPr>
        <w:t xml:space="preserve"> </w:t>
      </w:r>
    </w:p>
    <w:p w14:paraId="5FAD7EAB" w14:textId="2D850CB9" w:rsidR="00295995" w:rsidRPr="00A05815" w:rsidRDefault="00295995" w:rsidP="00295995">
      <w:pPr>
        <w:tabs>
          <w:tab w:val="left" w:pos="4962"/>
        </w:tabs>
        <w:spacing w:before="120" w:after="120"/>
        <w:rPr>
          <w:rFonts w:eastAsia="Calibri"/>
          <w:szCs w:val="24"/>
        </w:rPr>
      </w:pPr>
      <w:r w:rsidRPr="00A05815">
        <w:rPr>
          <w:rFonts w:eastAsia="Calibri"/>
          <w:szCs w:val="24"/>
        </w:rPr>
        <w:t>Megítélésem szerint a rendelkező részben tett kikötés</w:t>
      </w:r>
      <w:r w:rsidR="00EB6693" w:rsidRPr="00A05815">
        <w:rPr>
          <w:rFonts w:eastAsia="Calibri"/>
          <w:szCs w:val="24"/>
        </w:rPr>
        <w:t>ek</w:t>
      </w:r>
      <w:r w:rsidR="00A05815">
        <w:rPr>
          <w:rFonts w:eastAsia="Calibri"/>
          <w:szCs w:val="24"/>
        </w:rPr>
        <w:t xml:space="preserve"> teljesülése esetén</w:t>
      </w:r>
      <w:r w:rsidRPr="00A05815">
        <w:rPr>
          <w:rFonts w:eastAsia="Calibri"/>
          <w:szCs w:val="24"/>
        </w:rPr>
        <w:t xml:space="preserve"> az építmény tűzvédelmi helyzete kedvezőtlenül nem változik, így a rendelkező részben foglaltaknak megfelelően határoztam.</w:t>
      </w:r>
    </w:p>
    <w:p w14:paraId="50B8B66B" w14:textId="70B3D721" w:rsidR="00593833" w:rsidRPr="00670579" w:rsidRDefault="00593833" w:rsidP="00593833">
      <w:pPr>
        <w:tabs>
          <w:tab w:val="left" w:pos="4962"/>
        </w:tabs>
        <w:spacing w:before="120" w:after="120"/>
        <w:rPr>
          <w:rFonts w:eastAsia="Calibri"/>
          <w:szCs w:val="24"/>
        </w:rPr>
      </w:pPr>
      <w:r w:rsidRPr="00670579">
        <w:rPr>
          <w:rFonts w:eastAsia="Calibri"/>
          <w:szCs w:val="24"/>
        </w:rPr>
        <w:t>Az eltérési engedély megadásánál figyelembe vettem az építmény alapterületét, rendeltetését, az építményszerkezetek tűzállóságát, a működési terület szerint illetékes tűzoltóság technikai felszereltségét</w:t>
      </w:r>
      <w:r w:rsidR="004F41BF" w:rsidRPr="00670579">
        <w:rPr>
          <w:rFonts w:eastAsia="Calibri"/>
          <w:szCs w:val="24"/>
        </w:rPr>
        <w:t>, az Ü</w:t>
      </w:r>
      <w:r w:rsidRPr="00670579">
        <w:rPr>
          <w:rFonts w:eastAsia="Calibri"/>
          <w:szCs w:val="24"/>
        </w:rPr>
        <w:t xml:space="preserve">gyfél által az eltérő műszaki kialakítás ellensúlyozására felajánlott intézkedéseket. </w:t>
      </w:r>
    </w:p>
    <w:p w14:paraId="5E6197A4" w14:textId="26B1E7B4" w:rsidR="00EB6693" w:rsidRPr="00670579" w:rsidRDefault="00593833" w:rsidP="00593833">
      <w:pPr>
        <w:autoSpaceDE w:val="0"/>
        <w:autoSpaceDN w:val="0"/>
        <w:spacing w:after="120"/>
        <w:rPr>
          <w:rFonts w:eastAsia="Times New Roman" w:cs="Times New Roman"/>
          <w:szCs w:val="24"/>
          <w:lang w:eastAsia="hu-HU"/>
        </w:rPr>
      </w:pPr>
      <w:r w:rsidRPr="00670579">
        <w:rPr>
          <w:rFonts w:eastAsia="Times New Roman" w:cs="Times New Roman"/>
          <w:szCs w:val="24"/>
          <w:lang w:eastAsia="hu-HU"/>
        </w:rPr>
        <w:t>Az eljárás során az ügyfelet terhelő eljárási költség nem merült fel, ezért annak megállapításáról és viseléséről nem rendelkeztem.</w:t>
      </w:r>
    </w:p>
    <w:p w14:paraId="10FAAD1D" w14:textId="0D6CBCB1" w:rsidR="009C4C47" w:rsidRPr="00670579" w:rsidRDefault="009C4C47" w:rsidP="009C4C47">
      <w:pPr>
        <w:tabs>
          <w:tab w:val="left" w:leader="dot" w:pos="10198"/>
        </w:tabs>
        <w:spacing w:before="120" w:after="120"/>
        <w:rPr>
          <w:rFonts w:eastAsia="Calibri" w:cs="Times New Roman"/>
          <w:szCs w:val="24"/>
        </w:rPr>
      </w:pPr>
      <w:r w:rsidRPr="00670579">
        <w:rPr>
          <w:rFonts w:eastAsia="Calibri" w:cs="Times New Roman"/>
          <w:szCs w:val="24"/>
        </w:rPr>
        <w:t>A döntés hirdetményi úton történő közlését és annak napját a nemzetgazdasági szempontból kiemelt jelentőségű beruházások megvalósításának gyorsításáról és egyszerűsítéséről szóló 2006. évi LIII. törvény 2. § (2) bekezdése írja elő.</w:t>
      </w:r>
    </w:p>
    <w:p w14:paraId="220EC1E9" w14:textId="27C74586" w:rsidR="00670579" w:rsidRPr="00670579" w:rsidRDefault="00593833" w:rsidP="00593833">
      <w:pPr>
        <w:spacing w:after="120"/>
        <w:rPr>
          <w:rFonts w:eastAsia="Calibri"/>
          <w:szCs w:val="24"/>
        </w:rPr>
      </w:pPr>
      <w:r w:rsidRPr="00670579">
        <w:rPr>
          <w:rFonts w:eastAsia="Calibri"/>
          <w:szCs w:val="24"/>
        </w:rPr>
        <w:t xml:space="preserve">Határozatom az általános közigazgatási rendtartásról szóló 2016. évi CL. törvény (továbbiakban: Ákr.) 80. § (1) bekezdésén, valamint a tűz elleni védekezésről, műszaki mentésről és tűzoltóságról szóló 1996. évi XXXI. törvény 11. § (1) bekezdés a) pontján alapul. </w:t>
      </w:r>
    </w:p>
    <w:p w14:paraId="45EACB0F" w14:textId="1CD64337" w:rsidR="00593833" w:rsidRPr="00670579" w:rsidRDefault="00CA3C98" w:rsidP="00593833">
      <w:pPr>
        <w:spacing w:after="120"/>
        <w:rPr>
          <w:rFonts w:eastAsia="Calibri"/>
          <w:szCs w:val="24"/>
        </w:rPr>
      </w:pPr>
      <w:r w:rsidRPr="00670579">
        <w:rPr>
          <w:rFonts w:eastAsia="Calibri"/>
          <w:szCs w:val="24"/>
        </w:rPr>
        <w:lastRenderedPageBreak/>
        <w:t>Hatásköröm</w:t>
      </w:r>
      <w:r w:rsidR="00593833" w:rsidRPr="00670579">
        <w:rPr>
          <w:rFonts w:eastAsia="Calibri"/>
          <w:bCs/>
          <w:szCs w:val="24"/>
        </w:rPr>
        <w:t xml:space="preserve"> </w:t>
      </w:r>
      <w:r w:rsidRPr="00670579">
        <w:rPr>
          <w:rFonts w:eastAsia="Calibri"/>
          <w:bCs/>
          <w:szCs w:val="24"/>
        </w:rPr>
        <w:t>a tűzvédelmi hatósági feladatokat ellátó szervezetekről, a tűzvédelmi bírságról és a tűzvédelemmel foglalkozók kötelező élet- és balesetbiztosításáról</w:t>
      </w:r>
      <w:r w:rsidR="00593833" w:rsidRPr="00670579">
        <w:rPr>
          <w:rFonts w:eastAsia="Calibri"/>
          <w:bCs/>
          <w:szCs w:val="24"/>
        </w:rPr>
        <w:t xml:space="preserve"> szóló 259/2011. (XII. 7.) Korm. rendelet 1. § (2) bekezdés k)</w:t>
      </w:r>
      <w:r w:rsidRPr="00670579">
        <w:rPr>
          <w:rFonts w:eastAsia="Calibri"/>
          <w:bCs/>
          <w:szCs w:val="24"/>
        </w:rPr>
        <w:t xml:space="preserve"> és m) pontján</w:t>
      </w:r>
      <w:r w:rsidR="00593833" w:rsidRPr="00670579">
        <w:rPr>
          <w:rFonts w:eastAsia="Calibri"/>
          <w:bCs/>
          <w:szCs w:val="24"/>
        </w:rPr>
        <w:t xml:space="preserve">, </w:t>
      </w:r>
      <w:r w:rsidR="004060C1" w:rsidRPr="00670579">
        <w:rPr>
          <w:rFonts w:eastAsia="Calibri"/>
          <w:bCs/>
          <w:szCs w:val="24"/>
        </w:rPr>
        <w:t xml:space="preserve">valamint </w:t>
      </w:r>
      <w:r w:rsidR="00A7387E" w:rsidRPr="00A7387E">
        <w:rPr>
          <w:rFonts w:eastAsia="Calibri"/>
          <w:bCs/>
          <w:szCs w:val="24"/>
        </w:rPr>
        <w:t>a Honvédelmi Sportközpontok fejlesztése keretében megvalósuló beruházással összefüggő közigazgatási hatósági ügyek nemzetgazdasági szempontból kiemelt jelentőségű üggyé nyilvánításáról</w:t>
      </w:r>
      <w:r w:rsidR="004060C1" w:rsidRPr="00670579">
        <w:rPr>
          <w:rFonts w:eastAsia="Calibri"/>
          <w:bCs/>
          <w:szCs w:val="24"/>
        </w:rPr>
        <w:t xml:space="preserve"> szóló </w:t>
      </w:r>
      <w:r w:rsidR="00A7387E" w:rsidRPr="00A7387E">
        <w:rPr>
          <w:rFonts w:eastAsia="Calibri"/>
          <w:bCs/>
          <w:szCs w:val="24"/>
        </w:rPr>
        <w:t>479/2017. (XII. 28.) Korm. rendelet</w:t>
      </w:r>
      <w:r w:rsidR="00A7387E">
        <w:rPr>
          <w:rFonts w:eastAsia="Calibri"/>
          <w:bCs/>
          <w:szCs w:val="24"/>
        </w:rPr>
        <w:t xml:space="preserve"> 1. melléklet 6</w:t>
      </w:r>
      <w:r w:rsidR="004060C1" w:rsidRPr="00670579">
        <w:rPr>
          <w:rFonts w:eastAsia="Calibri"/>
          <w:bCs/>
          <w:szCs w:val="24"/>
        </w:rPr>
        <w:t>. során</w:t>
      </w:r>
      <w:r w:rsidR="00A7387E">
        <w:rPr>
          <w:rFonts w:eastAsia="Calibri"/>
          <w:bCs/>
          <w:szCs w:val="24"/>
        </w:rPr>
        <w:t>, valamint ugyanezen rendelet 2. mellékletének 6. során</w:t>
      </w:r>
      <w:r w:rsidR="004060C1" w:rsidRPr="00670579">
        <w:rPr>
          <w:rFonts w:eastAsia="Calibri"/>
          <w:bCs/>
          <w:szCs w:val="24"/>
        </w:rPr>
        <w:t xml:space="preserve">, </w:t>
      </w:r>
      <w:r w:rsidR="00593833" w:rsidRPr="00670579">
        <w:rPr>
          <w:rFonts w:eastAsia="Calibri"/>
          <w:bCs/>
          <w:szCs w:val="24"/>
        </w:rPr>
        <w:t>i</w:t>
      </w:r>
      <w:r w:rsidRPr="00670579">
        <w:rPr>
          <w:rFonts w:eastAsia="Calibri"/>
          <w:szCs w:val="24"/>
        </w:rPr>
        <w:t>lletékességem</w:t>
      </w:r>
      <w:r w:rsidR="00593833" w:rsidRPr="00670579">
        <w:rPr>
          <w:rFonts w:eastAsia="Calibri"/>
          <w:szCs w:val="24"/>
        </w:rPr>
        <w:t xml:space="preserve"> </w:t>
      </w:r>
      <w:r w:rsidR="00593833" w:rsidRPr="00670579">
        <w:rPr>
          <w:rFonts w:eastAsia="Calibri"/>
          <w:bCs/>
          <w:szCs w:val="24"/>
        </w:rPr>
        <w:t>a katasztrófavédelemről és a hozzá kapcsolódó egyes törvények módosításáról szóló 2011. évi CXXVIII. törvény végrehajtásáról szóló 234/2011. (XI. 5.) Kormányrendelet 3.§ (1) és (3) bekezdésén és 1. mellékletének a) rész 3. pontján alapul</w:t>
      </w:r>
      <w:r w:rsidR="00593833" w:rsidRPr="00670579">
        <w:rPr>
          <w:rFonts w:eastAsia="Calibri"/>
          <w:szCs w:val="24"/>
        </w:rPr>
        <w:t>.</w:t>
      </w:r>
    </w:p>
    <w:p w14:paraId="5B7CD810" w14:textId="77777777" w:rsidR="00593833" w:rsidRPr="00670579" w:rsidRDefault="00593833" w:rsidP="00593833">
      <w:pPr>
        <w:spacing w:after="120"/>
        <w:rPr>
          <w:rFonts w:eastAsia="Calibri"/>
          <w:szCs w:val="24"/>
        </w:rPr>
      </w:pPr>
      <w:r w:rsidRPr="00670579">
        <w:rPr>
          <w:rFonts w:eastAsia="Calibri"/>
          <w:szCs w:val="24"/>
        </w:rPr>
        <w:t xml:space="preserve">Az Ákr. 116. § (1)-(2) bekezdése alapján a hivatásos katasztrófavédelmi szerv területi szervének határozata ellen nincs helye fellebbezésnek, a határozat az Ákr. 82. § (1) bekezdése alapján a közléssel véglegessé válik. </w:t>
      </w:r>
    </w:p>
    <w:p w14:paraId="398814AE" w14:textId="08D838AA" w:rsidR="004C04E7" w:rsidRPr="00670579" w:rsidRDefault="00593833" w:rsidP="00593833">
      <w:pPr>
        <w:spacing w:after="120"/>
        <w:rPr>
          <w:rFonts w:eastAsia="Calibri"/>
          <w:szCs w:val="24"/>
        </w:rPr>
      </w:pPr>
      <w:r w:rsidRPr="00670579">
        <w:rPr>
          <w:rFonts w:eastAsia="Calibri"/>
          <w:szCs w:val="24"/>
        </w:rPr>
        <w:t xml:space="preserve">Az Ákr. 114. § (1) bekezdése alapján az </w:t>
      </w:r>
      <w:r w:rsidRPr="00670579">
        <w:rPr>
          <w:rFonts w:ascii="Times" w:hAnsi="Times" w:cs="Times"/>
        </w:rPr>
        <w:t>ügyfél – az önálló jogorvoslattal nem támadható végzések kivételével – a véglegessé vált döntés ellen közigazgatási pert indíthat</w:t>
      </w:r>
      <w:r w:rsidRPr="00670579">
        <w:rPr>
          <w:rFonts w:eastAsia="Calibri"/>
          <w:szCs w:val="24"/>
        </w:rPr>
        <w:t xml:space="preserve">. A közigazgatási perrendtartásról szóló 2017. évi I. törvény (a továbbiakban: Kp.) 18. § (1) bekezdése szerint a pert az ellen a közigazgatási szerv ellen kell indítani, amely a jogvita tárgyát képező közigazgatási tevékenységet megvalósította, többfokú közigazgatási eljárásban hozott cselekmény esetén a közigazgatási cselekmény megvalósítója az utolsó fokon eljárt közigazgatási szerv. </w:t>
      </w:r>
    </w:p>
    <w:p w14:paraId="7E645CDC" w14:textId="7011EF05" w:rsidR="004C04E7" w:rsidRPr="00670579" w:rsidRDefault="004C04E7" w:rsidP="004C04E7">
      <w:pPr>
        <w:contextualSpacing/>
        <w:mirrorIndents/>
        <w:rPr>
          <w:rFonts w:eastAsia="Calibri"/>
          <w:szCs w:val="24"/>
        </w:rPr>
      </w:pPr>
      <w:r w:rsidRPr="00670579">
        <w:rPr>
          <w:rFonts w:eastAsia="Calibri"/>
          <w:szCs w:val="24"/>
        </w:rPr>
        <w:t xml:space="preserve">Az elektronikus útra kötelezett, vagy az elektronikus utat választó félnek ÁNYK űrlapot kell kitölteni, amelyhez a </w:t>
      </w:r>
      <w:hyperlink r:id="rId11" w:history="1">
        <w:r w:rsidR="00457E4D" w:rsidRPr="00537DF2">
          <w:rPr>
            <w:rStyle w:val="Hiperhivatkozs"/>
            <w:rFonts w:eastAsia="Calibri"/>
            <w:szCs w:val="24"/>
          </w:rPr>
          <w:t>https://bacs.katasztrofavedelem.hu/35295/birosagi-e-nyomtatvany</w:t>
        </w:r>
      </w:hyperlink>
      <w:r w:rsidRPr="00670579">
        <w:rPr>
          <w:rFonts w:eastAsia="Calibri"/>
          <w:szCs w:val="24"/>
        </w:rPr>
        <w:t xml:space="preserve"> elérhetőségi úton található internetes oldalon talál segítséget. </w:t>
      </w:r>
    </w:p>
    <w:p w14:paraId="5E73C7DC" w14:textId="77777777" w:rsidR="00BD5B60" w:rsidRPr="00670579" w:rsidRDefault="00BD5B60" w:rsidP="001A6B4C">
      <w:pPr>
        <w:tabs>
          <w:tab w:val="left" w:pos="6237"/>
        </w:tabs>
        <w:contextualSpacing/>
        <w:mirrorIndents/>
        <w:rPr>
          <w:szCs w:val="20"/>
        </w:rPr>
      </w:pPr>
    </w:p>
    <w:p w14:paraId="06AFA6B8" w14:textId="59DBC079" w:rsidR="001A6B4C" w:rsidRPr="00670579" w:rsidRDefault="001A6B4C" w:rsidP="001A6B4C">
      <w:pPr>
        <w:tabs>
          <w:tab w:val="left" w:pos="6237"/>
        </w:tabs>
        <w:contextualSpacing/>
        <w:mirrorIndents/>
        <w:rPr>
          <w:szCs w:val="20"/>
        </w:rPr>
      </w:pPr>
      <w:r w:rsidRPr="00670579">
        <w:rPr>
          <w:szCs w:val="20"/>
        </w:rPr>
        <w:t>A keresetlevél tartalmára és benyújtásának módjára a Kp. 37-39. § rendelkezései az irányadóak. A Szegedi Törvényszék illetékességét a Kp. 7. § (1) bekezdés a) pontja, és a bíróságok elnevezéséről, székhelyéről és illetékesség területének meghatározásáról szóló 2010. évi CLXXXIV. törvény 3/A. §-hoz tartozó 4. melléklet 7. pontja, a közigazgatási per illetékének mértékét az illetékekről szóló 1990. évi XCIII. törvény (a továbbiakban: Itv.) 45/A. § (1) bekezdése, megfizetésének módját a 74. § (1)-(1a) bekezdése határozza meg.</w:t>
      </w:r>
    </w:p>
    <w:p w14:paraId="06EF2EF2" w14:textId="77777777" w:rsidR="00BD5B60" w:rsidRPr="00670579" w:rsidRDefault="00BD5B60" w:rsidP="001A6B4C">
      <w:pPr>
        <w:tabs>
          <w:tab w:val="left" w:pos="6237"/>
        </w:tabs>
        <w:contextualSpacing/>
        <w:mirrorIndents/>
        <w:rPr>
          <w:szCs w:val="20"/>
        </w:rPr>
      </w:pPr>
    </w:p>
    <w:p w14:paraId="1B9B86AD" w14:textId="063CCB52" w:rsidR="001A6B4C" w:rsidRPr="00670579" w:rsidRDefault="001A6B4C" w:rsidP="004C04E7">
      <w:pPr>
        <w:tabs>
          <w:tab w:val="left" w:pos="6237"/>
        </w:tabs>
        <w:contextualSpacing/>
        <w:mirrorIndents/>
        <w:rPr>
          <w:szCs w:val="20"/>
        </w:rPr>
      </w:pPr>
      <w:r w:rsidRPr="00670579">
        <w:rPr>
          <w:szCs w:val="20"/>
        </w:rPr>
        <w:t>Az Itv. 62. § (1) bekezdésének h) pontja alapján a felet a közigazgatási bírósági eljárásban tárgyi illetékfeljegyzési jog illeti meg.</w:t>
      </w:r>
      <w:r w:rsidR="00AB0E08" w:rsidRPr="00670579">
        <w:rPr>
          <w:szCs w:val="20"/>
        </w:rPr>
        <w:t xml:space="preserve"> </w:t>
      </w:r>
      <w:r w:rsidR="004C04E7" w:rsidRPr="00670579">
        <w:rPr>
          <w:szCs w:val="20"/>
        </w:rPr>
        <w:t xml:space="preserve">Az eljárási illeték mentességét az </w:t>
      </w:r>
      <w:r w:rsidR="00CA3C98" w:rsidRPr="00670579">
        <w:rPr>
          <w:szCs w:val="20"/>
        </w:rPr>
        <w:t xml:space="preserve">az állami magasépítési beruházások megvalósításáról szóló 2018. évi CXXXVIII. törvény 4. </w:t>
      </w:r>
      <w:r w:rsidR="004C04E7" w:rsidRPr="00670579">
        <w:rPr>
          <w:szCs w:val="20"/>
        </w:rPr>
        <w:t>§.</w:t>
      </w:r>
      <w:r w:rsidR="00CA3C98" w:rsidRPr="00670579">
        <w:rPr>
          <w:szCs w:val="20"/>
        </w:rPr>
        <w:t xml:space="preserve"> (3) bekezdése</w:t>
      </w:r>
      <w:r w:rsidR="004C04E7" w:rsidRPr="00670579">
        <w:rPr>
          <w:szCs w:val="20"/>
        </w:rPr>
        <w:t xml:space="preserve"> határozza meg.</w:t>
      </w:r>
    </w:p>
    <w:p w14:paraId="3BBDDF56" w14:textId="29854066" w:rsidR="00E500C0" w:rsidRPr="00670579" w:rsidRDefault="00E500C0" w:rsidP="002E1720">
      <w:pPr>
        <w:tabs>
          <w:tab w:val="left" w:pos="6237"/>
        </w:tabs>
        <w:contextualSpacing/>
        <w:mirrorIndents/>
        <w:rPr>
          <w:szCs w:val="20"/>
        </w:rPr>
      </w:pPr>
    </w:p>
    <w:p w14:paraId="7A8D2CCA" w14:textId="6D759F2B" w:rsidR="00AC1FE6" w:rsidRPr="00670579" w:rsidRDefault="00AC1FE6" w:rsidP="00823D91">
      <w:pPr>
        <w:contextualSpacing/>
        <w:mirrorIndents/>
      </w:pPr>
      <w:r w:rsidRPr="00670579">
        <w:t xml:space="preserve">Kelt: </w:t>
      </w:r>
      <w:r w:rsidR="00EF682E" w:rsidRPr="00670579">
        <w:t>Kecskemét</w:t>
      </w:r>
      <w:r w:rsidRPr="00670579">
        <w:t xml:space="preserve">, </w:t>
      </w:r>
      <w:r w:rsidRPr="00670579">
        <w:rPr>
          <w:i/>
        </w:rPr>
        <w:t>elektronikus bélyegző szerint</w:t>
      </w:r>
    </w:p>
    <w:p w14:paraId="26452766" w14:textId="67EAAF5B" w:rsidR="00264811" w:rsidRPr="00670579" w:rsidRDefault="00264811" w:rsidP="00823D91">
      <w:pPr>
        <w:tabs>
          <w:tab w:val="left" w:pos="1134"/>
        </w:tabs>
        <w:contextualSpacing/>
        <w:mirrorIndents/>
        <w:rPr>
          <w:szCs w:val="24"/>
        </w:rPr>
      </w:pPr>
    </w:p>
    <w:p w14:paraId="4605358B" w14:textId="7D2103AC" w:rsidR="00264811" w:rsidRPr="00670579" w:rsidRDefault="007C5EB0" w:rsidP="00A7387E">
      <w:pPr>
        <w:tabs>
          <w:tab w:val="center" w:pos="6804"/>
        </w:tabs>
        <w:contextualSpacing/>
        <w:mirrorIndents/>
        <w:rPr>
          <w:b/>
        </w:rPr>
      </w:pPr>
      <w:r w:rsidRPr="00670579">
        <w:rPr>
          <w:b/>
        </w:rPr>
        <w:tab/>
      </w:r>
      <w:r w:rsidR="00457E4D" w:rsidRPr="00457E4D">
        <w:rPr>
          <w:sz w:val="20"/>
          <w:szCs w:val="20"/>
        </w:rPr>
        <w:t>---------</w:t>
      </w:r>
      <w:r w:rsidR="00457E4D">
        <w:rPr>
          <w:sz w:val="20"/>
          <w:szCs w:val="20"/>
        </w:rPr>
        <w:t>------------------------</w:t>
      </w:r>
    </w:p>
    <w:p w14:paraId="50E3E5E5" w14:textId="1539DC69" w:rsidR="00264811" w:rsidRPr="00670579" w:rsidRDefault="007C5EB0" w:rsidP="00A7387E">
      <w:pPr>
        <w:tabs>
          <w:tab w:val="center" w:pos="6804"/>
        </w:tabs>
        <w:contextualSpacing/>
        <w:mirrorIndents/>
      </w:pPr>
      <w:r w:rsidRPr="00670579">
        <w:rPr>
          <w:b/>
        </w:rPr>
        <w:tab/>
      </w:r>
      <w:r w:rsidR="00264811" w:rsidRPr="00670579">
        <w:t>tűzoltó tanácsos</w:t>
      </w:r>
    </w:p>
    <w:p w14:paraId="51F75835" w14:textId="1B1E4D42" w:rsidR="00264811" w:rsidRPr="00670579" w:rsidRDefault="007C5EB0" w:rsidP="00A7387E">
      <w:pPr>
        <w:tabs>
          <w:tab w:val="center" w:pos="6804"/>
        </w:tabs>
        <w:contextualSpacing/>
        <w:mirrorIndents/>
      </w:pPr>
      <w:r w:rsidRPr="00670579">
        <w:tab/>
      </w:r>
      <w:r w:rsidR="00264811" w:rsidRPr="00670579">
        <w:t>katasztrófavédelmi igazgató</w:t>
      </w:r>
    </w:p>
    <w:p w14:paraId="64BED424" w14:textId="77777777" w:rsidR="00AB0E08" w:rsidRPr="00670579" w:rsidRDefault="00AB0E08" w:rsidP="002E1720">
      <w:pPr>
        <w:tabs>
          <w:tab w:val="center" w:pos="6804"/>
        </w:tabs>
        <w:contextualSpacing/>
        <w:mirrorIndents/>
      </w:pPr>
    </w:p>
    <w:p w14:paraId="5C0BB5CB" w14:textId="27EBC859" w:rsidR="00AC1FE6" w:rsidRPr="00670579" w:rsidRDefault="00AC1FE6" w:rsidP="00823D91">
      <w:pPr>
        <w:tabs>
          <w:tab w:val="left" w:pos="1134"/>
        </w:tabs>
        <w:contextualSpacing/>
        <w:mirrorIndents/>
        <w:rPr>
          <w:sz w:val="20"/>
          <w:szCs w:val="20"/>
        </w:rPr>
      </w:pPr>
      <w:r w:rsidRPr="00670579">
        <w:rPr>
          <w:sz w:val="20"/>
          <w:szCs w:val="20"/>
        </w:rPr>
        <w:t>Melléklet:</w:t>
      </w:r>
      <w:r w:rsidRPr="00670579">
        <w:rPr>
          <w:sz w:val="20"/>
          <w:szCs w:val="20"/>
        </w:rPr>
        <w:tab/>
      </w:r>
      <w:r w:rsidR="00EF682E" w:rsidRPr="00670579">
        <w:rPr>
          <w:sz w:val="20"/>
          <w:szCs w:val="20"/>
        </w:rPr>
        <w:t>-</w:t>
      </w:r>
    </w:p>
    <w:p w14:paraId="28F945CE" w14:textId="57129D37" w:rsidR="002C2F73" w:rsidRPr="00670579" w:rsidRDefault="002C2F73" w:rsidP="00823D91">
      <w:pPr>
        <w:tabs>
          <w:tab w:val="left" w:pos="1134"/>
        </w:tabs>
        <w:contextualSpacing/>
        <w:mirrorIndents/>
        <w:rPr>
          <w:sz w:val="20"/>
          <w:szCs w:val="20"/>
        </w:rPr>
      </w:pPr>
      <w:r w:rsidRPr="00670579">
        <w:rPr>
          <w:sz w:val="20"/>
          <w:szCs w:val="20"/>
        </w:rPr>
        <w:t>Terjedelem:</w:t>
      </w:r>
      <w:r w:rsidRPr="00670579">
        <w:rPr>
          <w:sz w:val="20"/>
          <w:szCs w:val="20"/>
        </w:rPr>
        <w:tab/>
      </w:r>
      <w:r w:rsidR="00672D93" w:rsidRPr="00670579">
        <w:rPr>
          <w:sz w:val="20"/>
          <w:szCs w:val="20"/>
        </w:rPr>
        <w:t>3</w:t>
      </w:r>
      <w:r w:rsidR="00095D81" w:rsidRPr="00670579">
        <w:rPr>
          <w:sz w:val="20"/>
          <w:szCs w:val="20"/>
        </w:rPr>
        <w:t xml:space="preserve"> </w:t>
      </w:r>
      <w:r w:rsidRPr="00670579">
        <w:rPr>
          <w:sz w:val="20"/>
          <w:szCs w:val="20"/>
        </w:rPr>
        <w:t>oldal</w:t>
      </w:r>
      <w:r w:rsidR="00095D81" w:rsidRPr="00670579">
        <w:rPr>
          <w:sz w:val="20"/>
          <w:szCs w:val="20"/>
        </w:rPr>
        <w:t xml:space="preserve"> (a kiadmányozó</w:t>
      </w:r>
      <w:r w:rsidR="00A45484" w:rsidRPr="00670579">
        <w:rPr>
          <w:sz w:val="20"/>
          <w:szCs w:val="20"/>
        </w:rPr>
        <w:t xml:space="preserve"> pót</w:t>
      </w:r>
      <w:r w:rsidR="00095D81" w:rsidRPr="00670579">
        <w:rPr>
          <w:sz w:val="20"/>
          <w:szCs w:val="20"/>
        </w:rPr>
        <w:t xml:space="preserve">lap </w:t>
      </w:r>
      <w:r w:rsidR="00A45484" w:rsidRPr="00670579">
        <w:rPr>
          <w:sz w:val="20"/>
          <w:szCs w:val="20"/>
        </w:rPr>
        <w:t>nélkül</w:t>
      </w:r>
      <w:r w:rsidR="00095D81" w:rsidRPr="00670579">
        <w:rPr>
          <w:sz w:val="20"/>
          <w:szCs w:val="20"/>
        </w:rPr>
        <w:t>)</w:t>
      </w:r>
    </w:p>
    <w:p w14:paraId="5AD7E3D6" w14:textId="234EFCED" w:rsidR="005B40D9" w:rsidRDefault="003B4863" w:rsidP="00823D91">
      <w:pPr>
        <w:tabs>
          <w:tab w:val="left" w:pos="1134"/>
        </w:tabs>
        <w:contextualSpacing/>
        <w:mirrorIndents/>
        <w:rPr>
          <w:sz w:val="20"/>
          <w:szCs w:val="20"/>
        </w:rPr>
      </w:pPr>
      <w:r w:rsidRPr="00670579">
        <w:rPr>
          <w:sz w:val="20"/>
          <w:szCs w:val="20"/>
        </w:rPr>
        <w:t>Kapj</w:t>
      </w:r>
      <w:r w:rsidR="00FC5EE3" w:rsidRPr="00670579">
        <w:rPr>
          <w:sz w:val="20"/>
          <w:szCs w:val="20"/>
        </w:rPr>
        <w:t>a</w:t>
      </w:r>
      <w:r w:rsidRPr="00670579">
        <w:rPr>
          <w:sz w:val="20"/>
          <w:szCs w:val="20"/>
        </w:rPr>
        <w:t xml:space="preserve">: </w:t>
      </w:r>
      <w:r w:rsidRPr="00670579">
        <w:rPr>
          <w:sz w:val="20"/>
          <w:szCs w:val="20"/>
        </w:rPr>
        <w:tab/>
      </w:r>
      <w:r w:rsidR="0092440C" w:rsidRPr="00670579">
        <w:rPr>
          <w:sz w:val="20"/>
          <w:szCs w:val="20"/>
        </w:rPr>
        <w:t>Kérelmező</w:t>
      </w:r>
      <w:r w:rsidR="00E500C0" w:rsidRPr="00670579">
        <w:rPr>
          <w:sz w:val="20"/>
          <w:szCs w:val="20"/>
        </w:rPr>
        <w:t xml:space="preserve"> </w:t>
      </w:r>
      <w:r w:rsidR="00AB0E08" w:rsidRPr="00670579">
        <w:rPr>
          <w:sz w:val="20"/>
          <w:szCs w:val="20"/>
        </w:rPr>
        <w:t>–</w:t>
      </w:r>
      <w:r w:rsidR="00672D93" w:rsidRPr="00670579">
        <w:rPr>
          <w:sz w:val="20"/>
          <w:szCs w:val="20"/>
        </w:rPr>
        <w:t xml:space="preserve"> </w:t>
      </w:r>
      <w:r w:rsidR="00AB0E08" w:rsidRPr="00670579">
        <w:rPr>
          <w:sz w:val="20"/>
          <w:szCs w:val="20"/>
        </w:rPr>
        <w:t>[</w:t>
      </w:r>
      <w:r w:rsidR="00E500C0" w:rsidRPr="00670579">
        <w:rPr>
          <w:sz w:val="20"/>
          <w:szCs w:val="20"/>
        </w:rPr>
        <w:t>Ügyfélkapu</w:t>
      </w:r>
      <w:r w:rsidR="00672D93" w:rsidRPr="00670579">
        <w:rPr>
          <w:sz w:val="20"/>
          <w:szCs w:val="20"/>
        </w:rPr>
        <w:t>]</w:t>
      </w:r>
    </w:p>
    <w:p w14:paraId="53CBC9EE" w14:textId="77777777" w:rsidR="009D5CE5" w:rsidRPr="009D5CE5" w:rsidRDefault="009D5CE5" w:rsidP="009D5CE5">
      <w:pPr>
        <w:tabs>
          <w:tab w:val="center" w:leader="underscore" w:pos="4536"/>
          <w:tab w:val="right" w:leader="underscore" w:pos="9072"/>
        </w:tabs>
        <w:rPr>
          <w:sz w:val="20"/>
          <w:szCs w:val="20"/>
        </w:rPr>
      </w:pPr>
      <w:r w:rsidRPr="009D5CE5">
        <w:rPr>
          <w:sz w:val="20"/>
          <w:szCs w:val="20"/>
        </w:rPr>
        <w:tab/>
      </w:r>
      <w:r w:rsidRPr="009D5CE5">
        <w:rPr>
          <w:sz w:val="20"/>
          <w:szCs w:val="20"/>
        </w:rPr>
        <w:tab/>
      </w:r>
    </w:p>
    <w:p w14:paraId="4C0E9297" w14:textId="77777777" w:rsidR="009D5CE5" w:rsidRPr="009D5CE5" w:rsidRDefault="009D5CE5" w:rsidP="009D5CE5">
      <w:pPr>
        <w:tabs>
          <w:tab w:val="center" w:pos="4536"/>
          <w:tab w:val="right" w:pos="9072"/>
        </w:tabs>
        <w:jc w:val="center"/>
        <w:rPr>
          <w:rFonts w:cs="Times New Roman"/>
          <w:sz w:val="20"/>
          <w:szCs w:val="20"/>
        </w:rPr>
      </w:pPr>
      <w:r w:rsidRPr="009D5CE5">
        <w:rPr>
          <w:sz w:val="20"/>
          <w:szCs w:val="20"/>
        </w:rPr>
        <w:t xml:space="preserve">Cím: </w:t>
      </w:r>
      <w:r w:rsidRPr="009D5CE5">
        <w:rPr>
          <w:rFonts w:cs="Times New Roman"/>
          <w:sz w:val="20"/>
          <w:szCs w:val="20"/>
        </w:rPr>
        <w:t>6000 Kecskemét, Deák Ferenc tér 3.</w:t>
      </w:r>
    </w:p>
    <w:p w14:paraId="661A909B" w14:textId="77777777" w:rsidR="009D5CE5" w:rsidRPr="009D5CE5" w:rsidRDefault="009D5CE5" w:rsidP="009D5CE5">
      <w:pPr>
        <w:tabs>
          <w:tab w:val="center" w:pos="4536"/>
          <w:tab w:val="right" w:pos="9072"/>
        </w:tabs>
        <w:jc w:val="center"/>
        <w:rPr>
          <w:rFonts w:cs="Times New Roman"/>
          <w:sz w:val="20"/>
          <w:szCs w:val="20"/>
        </w:rPr>
      </w:pPr>
      <w:r w:rsidRPr="009D5CE5">
        <w:rPr>
          <w:rFonts w:cs="Times New Roman"/>
          <w:sz w:val="20"/>
          <w:szCs w:val="20"/>
        </w:rPr>
        <w:t xml:space="preserve">Telefon: (+36-76) 502-014 Fax: (+36-76) 481-241 </w:t>
      </w:r>
    </w:p>
    <w:p w14:paraId="2849DB07" w14:textId="37DB13EB" w:rsidR="009D5CE5" w:rsidRPr="009D5CE5" w:rsidRDefault="009D5CE5" w:rsidP="009D5CE5">
      <w:pPr>
        <w:tabs>
          <w:tab w:val="center" w:pos="4536"/>
          <w:tab w:val="right" w:pos="9072"/>
        </w:tabs>
        <w:jc w:val="center"/>
        <w:rPr>
          <w:rFonts w:cs="Times New Roman"/>
          <w:sz w:val="20"/>
          <w:szCs w:val="20"/>
        </w:rPr>
      </w:pPr>
      <w:r w:rsidRPr="009D5CE5">
        <w:rPr>
          <w:rFonts w:cs="Times New Roman"/>
          <w:sz w:val="20"/>
          <w:szCs w:val="20"/>
        </w:rPr>
        <w:t>E-mail: bacs.titkarsag@katved.gov.hu</w:t>
      </w:r>
      <w:bookmarkStart w:id="0" w:name="_GoBack"/>
      <w:bookmarkEnd w:id="0"/>
    </w:p>
    <w:sectPr w:rsidR="009D5CE5" w:rsidRPr="009D5CE5" w:rsidSect="00C00960">
      <w:headerReference w:type="default" r:id="rId12"/>
      <w:headerReference w:type="first" r:id="rId13"/>
      <w:pgSz w:w="11900" w:h="16840" w:code="9"/>
      <w:pgMar w:top="992" w:right="992" w:bottom="1134" w:left="992" w:header="997" w:footer="824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1984D" w14:textId="77777777" w:rsidR="000C6E3E" w:rsidRDefault="000C6E3E" w:rsidP="00D632A1">
      <w:r>
        <w:separator/>
      </w:r>
    </w:p>
  </w:endnote>
  <w:endnote w:type="continuationSeparator" w:id="0">
    <w:p w14:paraId="64C4C047" w14:textId="77777777" w:rsidR="000C6E3E" w:rsidRDefault="000C6E3E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E15A" w14:textId="77777777" w:rsidR="000C6E3E" w:rsidRDefault="000C6E3E" w:rsidP="00D632A1">
      <w:r>
        <w:separator/>
      </w:r>
    </w:p>
  </w:footnote>
  <w:footnote w:type="continuationSeparator" w:id="0">
    <w:p w14:paraId="740AF195" w14:textId="77777777" w:rsidR="000C6E3E" w:rsidRDefault="000C6E3E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3C8A" w14:textId="1D600403" w:rsidR="008A07EF" w:rsidRDefault="006D5231" w:rsidP="002C074C">
    <w:pPr>
      <w:pStyle w:val="lfej"/>
      <w:tabs>
        <w:tab w:val="clear" w:pos="4536"/>
        <w:tab w:val="center" w:pos="4962"/>
      </w:tabs>
    </w:pPr>
    <w:r>
      <w:tab/>
    </w:r>
    <w:sdt>
      <w:sdtPr>
        <w:id w:val="57830658"/>
        <w:docPartObj>
          <w:docPartGallery w:val="Page Numbers (Top of Page)"/>
          <w:docPartUnique/>
        </w:docPartObj>
      </w:sdtPr>
      <w:sdtEndPr/>
      <w:sdtContent>
        <w:r w:rsidR="008A07EF">
          <w:fldChar w:fldCharType="begin"/>
        </w:r>
        <w:r w:rsidR="008A07EF">
          <w:instrText>PAGE   \* MERGEFORMAT</w:instrText>
        </w:r>
        <w:r w:rsidR="008A07EF">
          <w:fldChar w:fldCharType="separate"/>
        </w:r>
        <w:r w:rsidR="009D5CE5">
          <w:rPr>
            <w:noProof/>
          </w:rPr>
          <w:t>- 3 -</w:t>
        </w:r>
        <w:r w:rsidR="008A07EF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A5D1" w14:textId="01BC346F" w:rsidR="00087896" w:rsidRPr="00823D91" w:rsidRDefault="00BA574B" w:rsidP="00087896">
    <w:pPr>
      <w:pStyle w:val="lfej"/>
      <w:jc w:val="center"/>
      <w:rPr>
        <w:rFonts w:cs="Times New Roman"/>
        <w:szCs w:val="24"/>
      </w:rPr>
    </w:pPr>
    <w:r w:rsidRPr="00823D91">
      <w:rPr>
        <w:rFonts w:cs="Times New Roman"/>
        <w:noProof/>
        <w:szCs w:val="24"/>
        <w:lang w:eastAsia="hu-HU"/>
      </w:rPr>
      <w:drawing>
        <wp:inline distT="0" distB="0" distL="0" distR="0" wp14:anchorId="4BC91362" wp14:editId="663F05A3">
          <wp:extent cx="5756910" cy="715645"/>
          <wp:effectExtent l="0" t="0" r="0" b="8255"/>
          <wp:docPr id="9" name="Kép 9" title="Bács-Kiskun Megyei Katasztrófavédelmi Igazgatósá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8A5D2" w14:textId="03D5C97F" w:rsidR="00D47525" w:rsidRPr="00823D91" w:rsidRDefault="004B0733" w:rsidP="00DB640C">
    <w:pPr>
      <w:pStyle w:val="lfej"/>
      <w:jc w:val="center"/>
      <w:rPr>
        <w:rFonts w:cs="Times New Roman"/>
        <w:smallCaps/>
        <w:w w:val="90"/>
        <w:szCs w:val="24"/>
      </w:rPr>
    </w:pPr>
    <w:r w:rsidRPr="00823D91">
      <w:rPr>
        <w:rFonts w:cs="Times New Roman"/>
        <w:smallCaps/>
        <w:w w:val="90"/>
        <w:szCs w:val="24"/>
      </w:rPr>
      <w:t>BÁCS-KISKUN MEGYEI KATASZTRÓFAVÉDELMI IGAZGATÓSÁG</w:t>
    </w:r>
  </w:p>
  <w:p w14:paraId="731E10AA" w14:textId="12DECF50" w:rsidR="004B0733" w:rsidRPr="00823D91" w:rsidRDefault="00835764" w:rsidP="004B0733">
    <w:pPr>
      <w:pStyle w:val="lfej"/>
      <w:jc w:val="center"/>
      <w:rPr>
        <w:rFonts w:cs="Times New Roman"/>
        <w:smallCaps/>
        <w:w w:val="90"/>
        <w:szCs w:val="24"/>
      </w:rPr>
    </w:pPr>
    <w:r w:rsidRPr="00823D91">
      <w:rPr>
        <w:rFonts w:cs="Times New Roman"/>
        <w:smallCaps/>
        <w:w w:val="90"/>
        <w:szCs w:val="24"/>
      </w:rPr>
      <w:t>IGAZGATÓ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9D4"/>
    <w:multiLevelType w:val="hybridMultilevel"/>
    <w:tmpl w:val="C2188E6A"/>
    <w:lvl w:ilvl="0" w:tplc="225EC086">
      <w:start w:val="1"/>
      <w:numFmt w:val="decimal"/>
      <w:lvlText w:val="ad.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03F9"/>
    <w:multiLevelType w:val="hybridMultilevel"/>
    <w:tmpl w:val="AB428452"/>
    <w:lvl w:ilvl="0" w:tplc="DE027898">
      <w:start w:val="2"/>
      <w:numFmt w:val="decimal"/>
      <w:lvlText w:val="ad.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1607"/>
    <w:multiLevelType w:val="hybridMultilevel"/>
    <w:tmpl w:val="844A7922"/>
    <w:lvl w:ilvl="0" w:tplc="554A727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27C3137B"/>
    <w:multiLevelType w:val="hybridMultilevel"/>
    <w:tmpl w:val="98DE2C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0663"/>
    <w:multiLevelType w:val="hybridMultilevel"/>
    <w:tmpl w:val="263C4A5A"/>
    <w:lvl w:ilvl="0" w:tplc="F496CFD6">
      <w:start w:val="1"/>
      <w:numFmt w:val="decimal"/>
      <w:lvlText w:val="ad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B457F"/>
    <w:multiLevelType w:val="hybridMultilevel"/>
    <w:tmpl w:val="2EE2091E"/>
    <w:lvl w:ilvl="0" w:tplc="014C25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7C4E"/>
    <w:multiLevelType w:val="hybridMultilevel"/>
    <w:tmpl w:val="306297BE"/>
    <w:lvl w:ilvl="0" w:tplc="2B20B0B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" w15:restartNumberingAfterBreak="0">
    <w:nsid w:val="458F4391"/>
    <w:multiLevelType w:val="hybridMultilevel"/>
    <w:tmpl w:val="AF0E3B0E"/>
    <w:lvl w:ilvl="0" w:tplc="90FCB0F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19ECB9A4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0F32"/>
    <w:multiLevelType w:val="hybridMultilevel"/>
    <w:tmpl w:val="71CE8F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1504B6FE">
      <w:start w:val="1"/>
      <w:numFmt w:val="lowerLetter"/>
      <w:lvlText w:val="a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30237"/>
    <w:multiLevelType w:val="hybridMultilevel"/>
    <w:tmpl w:val="9D0A2364"/>
    <w:lvl w:ilvl="0" w:tplc="8DA20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34F13"/>
    <w:multiLevelType w:val="hybridMultilevel"/>
    <w:tmpl w:val="A8A8AA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47040"/>
    <w:multiLevelType w:val="hybridMultilevel"/>
    <w:tmpl w:val="2CDAFB26"/>
    <w:lvl w:ilvl="0" w:tplc="3BC2D2FA">
      <w:start w:val="1"/>
      <w:numFmt w:val="decimal"/>
      <w:lvlText w:val="ad.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0201A"/>
    <w:multiLevelType w:val="hybridMultilevel"/>
    <w:tmpl w:val="74764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45F1A"/>
    <w:multiLevelType w:val="hybridMultilevel"/>
    <w:tmpl w:val="546E78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8C8"/>
    <w:multiLevelType w:val="hybridMultilevel"/>
    <w:tmpl w:val="C436CF46"/>
    <w:lvl w:ilvl="0" w:tplc="2D44F4D2">
      <w:start w:val="1"/>
      <w:numFmt w:val="decimal"/>
      <w:lvlText w:val="ad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111B4"/>
    <w:rsid w:val="000149AE"/>
    <w:rsid w:val="00024493"/>
    <w:rsid w:val="00044DB7"/>
    <w:rsid w:val="00055A75"/>
    <w:rsid w:val="000725F4"/>
    <w:rsid w:val="00076679"/>
    <w:rsid w:val="00076A8E"/>
    <w:rsid w:val="00087896"/>
    <w:rsid w:val="00087D70"/>
    <w:rsid w:val="00095D81"/>
    <w:rsid w:val="000A02BC"/>
    <w:rsid w:val="000A4CF3"/>
    <w:rsid w:val="000C6E3E"/>
    <w:rsid w:val="000E1DF0"/>
    <w:rsid w:val="000E320F"/>
    <w:rsid w:val="00134E8F"/>
    <w:rsid w:val="00135FF9"/>
    <w:rsid w:val="001560B7"/>
    <w:rsid w:val="0016070C"/>
    <w:rsid w:val="001858C1"/>
    <w:rsid w:val="00196D68"/>
    <w:rsid w:val="001A6B4C"/>
    <w:rsid w:val="001B4D0A"/>
    <w:rsid w:val="001B5424"/>
    <w:rsid w:val="001C35D8"/>
    <w:rsid w:val="001C676C"/>
    <w:rsid w:val="001D4D82"/>
    <w:rsid w:val="001E19DC"/>
    <w:rsid w:val="001F327C"/>
    <w:rsid w:val="001F3DB9"/>
    <w:rsid w:val="001F5A81"/>
    <w:rsid w:val="00230B56"/>
    <w:rsid w:val="00237B3A"/>
    <w:rsid w:val="0024280A"/>
    <w:rsid w:val="00264811"/>
    <w:rsid w:val="00270414"/>
    <w:rsid w:val="00280191"/>
    <w:rsid w:val="002835F4"/>
    <w:rsid w:val="00283EE6"/>
    <w:rsid w:val="00286424"/>
    <w:rsid w:val="0029047B"/>
    <w:rsid w:val="00293BEC"/>
    <w:rsid w:val="00295995"/>
    <w:rsid w:val="002A0902"/>
    <w:rsid w:val="002C074C"/>
    <w:rsid w:val="002C2F73"/>
    <w:rsid w:val="002C39D8"/>
    <w:rsid w:val="002D5242"/>
    <w:rsid w:val="002E1720"/>
    <w:rsid w:val="002E4DC5"/>
    <w:rsid w:val="002F5052"/>
    <w:rsid w:val="00306B59"/>
    <w:rsid w:val="00313927"/>
    <w:rsid w:val="00320C6E"/>
    <w:rsid w:val="00325875"/>
    <w:rsid w:val="003376F0"/>
    <w:rsid w:val="00362533"/>
    <w:rsid w:val="0036413B"/>
    <w:rsid w:val="003709F5"/>
    <w:rsid w:val="00370BB0"/>
    <w:rsid w:val="00381C18"/>
    <w:rsid w:val="003827DE"/>
    <w:rsid w:val="003A7C06"/>
    <w:rsid w:val="003B13B8"/>
    <w:rsid w:val="003B4863"/>
    <w:rsid w:val="004060C1"/>
    <w:rsid w:val="00407A57"/>
    <w:rsid w:val="00411B11"/>
    <w:rsid w:val="00424523"/>
    <w:rsid w:val="004306D1"/>
    <w:rsid w:val="00444A18"/>
    <w:rsid w:val="00452B5A"/>
    <w:rsid w:val="00457E4D"/>
    <w:rsid w:val="00473E20"/>
    <w:rsid w:val="00476A16"/>
    <w:rsid w:val="00477F74"/>
    <w:rsid w:val="004A4E0A"/>
    <w:rsid w:val="004A5DD0"/>
    <w:rsid w:val="004B0733"/>
    <w:rsid w:val="004C04E7"/>
    <w:rsid w:val="004D2EF2"/>
    <w:rsid w:val="004F41BF"/>
    <w:rsid w:val="004F7095"/>
    <w:rsid w:val="00503EAC"/>
    <w:rsid w:val="00504277"/>
    <w:rsid w:val="0051339D"/>
    <w:rsid w:val="00514306"/>
    <w:rsid w:val="00521214"/>
    <w:rsid w:val="00524857"/>
    <w:rsid w:val="00533720"/>
    <w:rsid w:val="00541D55"/>
    <w:rsid w:val="00552B89"/>
    <w:rsid w:val="00552C6B"/>
    <w:rsid w:val="0058068C"/>
    <w:rsid w:val="0058590F"/>
    <w:rsid w:val="00593833"/>
    <w:rsid w:val="005A581B"/>
    <w:rsid w:val="005B40D9"/>
    <w:rsid w:val="005D0986"/>
    <w:rsid w:val="005D0E49"/>
    <w:rsid w:val="005D6B11"/>
    <w:rsid w:val="005E2BBE"/>
    <w:rsid w:val="005E5DF3"/>
    <w:rsid w:val="005F2C96"/>
    <w:rsid w:val="005F716A"/>
    <w:rsid w:val="00613468"/>
    <w:rsid w:val="006174CF"/>
    <w:rsid w:val="00632AFF"/>
    <w:rsid w:val="00636154"/>
    <w:rsid w:val="006534F2"/>
    <w:rsid w:val="00653EA4"/>
    <w:rsid w:val="00660FB1"/>
    <w:rsid w:val="00664E97"/>
    <w:rsid w:val="006652F4"/>
    <w:rsid w:val="00670579"/>
    <w:rsid w:val="00672D93"/>
    <w:rsid w:val="0067351B"/>
    <w:rsid w:val="00687C5B"/>
    <w:rsid w:val="00690529"/>
    <w:rsid w:val="00690B45"/>
    <w:rsid w:val="00691C68"/>
    <w:rsid w:val="006A062B"/>
    <w:rsid w:val="006A5F59"/>
    <w:rsid w:val="006B60AE"/>
    <w:rsid w:val="006B70A3"/>
    <w:rsid w:val="006D33F2"/>
    <w:rsid w:val="006D5231"/>
    <w:rsid w:val="006F7D3B"/>
    <w:rsid w:val="00702768"/>
    <w:rsid w:val="00714765"/>
    <w:rsid w:val="007236C7"/>
    <w:rsid w:val="007345EA"/>
    <w:rsid w:val="007747A6"/>
    <w:rsid w:val="0078417C"/>
    <w:rsid w:val="007861F0"/>
    <w:rsid w:val="0079036F"/>
    <w:rsid w:val="00793FB3"/>
    <w:rsid w:val="007A4F8E"/>
    <w:rsid w:val="007A675C"/>
    <w:rsid w:val="007B09CB"/>
    <w:rsid w:val="007C5EB0"/>
    <w:rsid w:val="00806D4F"/>
    <w:rsid w:val="00823D91"/>
    <w:rsid w:val="00835764"/>
    <w:rsid w:val="008365B2"/>
    <w:rsid w:val="00841843"/>
    <w:rsid w:val="00850830"/>
    <w:rsid w:val="00854B71"/>
    <w:rsid w:val="00855703"/>
    <w:rsid w:val="008564EF"/>
    <w:rsid w:val="00861069"/>
    <w:rsid w:val="008678E3"/>
    <w:rsid w:val="00872A47"/>
    <w:rsid w:val="00874A71"/>
    <w:rsid w:val="00881463"/>
    <w:rsid w:val="0089377A"/>
    <w:rsid w:val="008A07EF"/>
    <w:rsid w:val="008A0806"/>
    <w:rsid w:val="008A0B36"/>
    <w:rsid w:val="008B0100"/>
    <w:rsid w:val="008B3BAB"/>
    <w:rsid w:val="008C3A73"/>
    <w:rsid w:val="008E777F"/>
    <w:rsid w:val="0092440C"/>
    <w:rsid w:val="00926D3B"/>
    <w:rsid w:val="00947A66"/>
    <w:rsid w:val="0095426D"/>
    <w:rsid w:val="00970ADD"/>
    <w:rsid w:val="009718EA"/>
    <w:rsid w:val="009726E5"/>
    <w:rsid w:val="00977864"/>
    <w:rsid w:val="00984C8F"/>
    <w:rsid w:val="0099133E"/>
    <w:rsid w:val="009955AC"/>
    <w:rsid w:val="009B1C78"/>
    <w:rsid w:val="009B3DD2"/>
    <w:rsid w:val="009B4364"/>
    <w:rsid w:val="009B694B"/>
    <w:rsid w:val="009C4C47"/>
    <w:rsid w:val="009C7512"/>
    <w:rsid w:val="009D5CE5"/>
    <w:rsid w:val="009E720A"/>
    <w:rsid w:val="009F45F0"/>
    <w:rsid w:val="009F540B"/>
    <w:rsid w:val="00A02590"/>
    <w:rsid w:val="00A05815"/>
    <w:rsid w:val="00A10CCF"/>
    <w:rsid w:val="00A36313"/>
    <w:rsid w:val="00A37418"/>
    <w:rsid w:val="00A45484"/>
    <w:rsid w:val="00A5083C"/>
    <w:rsid w:val="00A640E0"/>
    <w:rsid w:val="00A72C01"/>
    <w:rsid w:val="00A7387E"/>
    <w:rsid w:val="00A73C93"/>
    <w:rsid w:val="00A932AE"/>
    <w:rsid w:val="00AB0E08"/>
    <w:rsid w:val="00AB5FF5"/>
    <w:rsid w:val="00AC119C"/>
    <w:rsid w:val="00AC1FE6"/>
    <w:rsid w:val="00AE2DBC"/>
    <w:rsid w:val="00AE5E8F"/>
    <w:rsid w:val="00AF1F63"/>
    <w:rsid w:val="00B044E2"/>
    <w:rsid w:val="00B07245"/>
    <w:rsid w:val="00B117D5"/>
    <w:rsid w:val="00B26C44"/>
    <w:rsid w:val="00B312D0"/>
    <w:rsid w:val="00B42CC6"/>
    <w:rsid w:val="00B5071D"/>
    <w:rsid w:val="00B523B0"/>
    <w:rsid w:val="00B901E1"/>
    <w:rsid w:val="00BA0182"/>
    <w:rsid w:val="00BA574B"/>
    <w:rsid w:val="00BA69EF"/>
    <w:rsid w:val="00BB1AF0"/>
    <w:rsid w:val="00BD5B60"/>
    <w:rsid w:val="00BD6FE6"/>
    <w:rsid w:val="00BE43DC"/>
    <w:rsid w:val="00BF195E"/>
    <w:rsid w:val="00BF4457"/>
    <w:rsid w:val="00C00960"/>
    <w:rsid w:val="00C155E9"/>
    <w:rsid w:val="00C21B46"/>
    <w:rsid w:val="00C2501F"/>
    <w:rsid w:val="00C52551"/>
    <w:rsid w:val="00C57DF0"/>
    <w:rsid w:val="00C76098"/>
    <w:rsid w:val="00C76F35"/>
    <w:rsid w:val="00C95579"/>
    <w:rsid w:val="00CA3C98"/>
    <w:rsid w:val="00CB3415"/>
    <w:rsid w:val="00CC2380"/>
    <w:rsid w:val="00CD3E81"/>
    <w:rsid w:val="00CD6DA8"/>
    <w:rsid w:val="00CD6F40"/>
    <w:rsid w:val="00D03E32"/>
    <w:rsid w:val="00D03ED7"/>
    <w:rsid w:val="00D132CC"/>
    <w:rsid w:val="00D20D8B"/>
    <w:rsid w:val="00D23953"/>
    <w:rsid w:val="00D47525"/>
    <w:rsid w:val="00D632A1"/>
    <w:rsid w:val="00D63AF2"/>
    <w:rsid w:val="00D727B7"/>
    <w:rsid w:val="00D73505"/>
    <w:rsid w:val="00D76328"/>
    <w:rsid w:val="00DA2AD7"/>
    <w:rsid w:val="00DA7AC0"/>
    <w:rsid w:val="00DB0CC0"/>
    <w:rsid w:val="00DB640C"/>
    <w:rsid w:val="00DB784F"/>
    <w:rsid w:val="00DC0842"/>
    <w:rsid w:val="00DE440C"/>
    <w:rsid w:val="00DE4AE6"/>
    <w:rsid w:val="00DF563D"/>
    <w:rsid w:val="00E0540F"/>
    <w:rsid w:val="00E46127"/>
    <w:rsid w:val="00E476EA"/>
    <w:rsid w:val="00E500C0"/>
    <w:rsid w:val="00E72268"/>
    <w:rsid w:val="00E970CD"/>
    <w:rsid w:val="00EB6693"/>
    <w:rsid w:val="00EC2B8A"/>
    <w:rsid w:val="00EF682E"/>
    <w:rsid w:val="00F064CA"/>
    <w:rsid w:val="00F21C53"/>
    <w:rsid w:val="00F343A4"/>
    <w:rsid w:val="00F473F3"/>
    <w:rsid w:val="00F56101"/>
    <w:rsid w:val="00F62994"/>
    <w:rsid w:val="00F653EA"/>
    <w:rsid w:val="00F70609"/>
    <w:rsid w:val="00F76F8D"/>
    <w:rsid w:val="00FA2472"/>
    <w:rsid w:val="00FA24DD"/>
    <w:rsid w:val="00FC27CA"/>
    <w:rsid w:val="00FC2F6B"/>
    <w:rsid w:val="00FC5EE3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A59E"/>
  <w15:docId w15:val="{2837EAB7-A270-4EE3-8285-F28DB90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7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632A1"/>
  </w:style>
  <w:style w:type="paragraph" w:styleId="llb">
    <w:name w:val="footer"/>
    <w:basedOn w:val="Norml"/>
    <w:link w:val="llb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locked/>
    <w:rsid w:val="00977864"/>
    <w:rPr>
      <w:color w:val="0000FF" w:themeColor="hyperlink"/>
      <w:u w:val="single"/>
    </w:rPr>
  </w:style>
  <w:style w:type="paragraph" w:styleId="Szvegtrzsbehzssal2">
    <w:name w:val="Body Text Indent 2"/>
    <w:basedOn w:val="Norml"/>
    <w:link w:val="Szvegtrzsbehzssal2Char"/>
    <w:rsid w:val="0095426D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542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2B8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Szvegtrzs">
    <w:name w:val="Body Text"/>
    <w:basedOn w:val="Norml"/>
    <w:link w:val="SzvegtrzsChar"/>
    <w:uiPriority w:val="99"/>
    <w:unhideWhenUsed/>
    <w:locked/>
    <w:rsid w:val="009955A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955AC"/>
    <w:rPr>
      <w:rFonts w:ascii="Times New Roman" w:hAnsi="Times New Roman" w:cstheme="minorHAnsi"/>
      <w:sz w:val="24"/>
    </w:rPr>
  </w:style>
  <w:style w:type="paragraph" w:styleId="NormlWeb">
    <w:name w:val="Normal (Web)"/>
    <w:basedOn w:val="Norml"/>
    <w:rsid w:val="00F76F8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473E20"/>
  </w:style>
  <w:style w:type="paragraph" w:styleId="Szvegtrzs2">
    <w:name w:val="Body Text 2"/>
    <w:basedOn w:val="Norml"/>
    <w:link w:val="Szvegtrzs2Char"/>
    <w:uiPriority w:val="99"/>
    <w:semiHidden/>
    <w:unhideWhenUsed/>
    <w:rsid w:val="00660F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60FB1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cs.katasztrofavedelem.hu/35295/birosagi-e-nyomtatvan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8DB70-6961-451F-B185-46C6EA98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Dobóczi Imréné</dc:creator>
  <cp:keywords>eletronikus iratminta</cp:keywords>
  <cp:lastModifiedBy>Borbély Aliz</cp:lastModifiedBy>
  <cp:revision>2</cp:revision>
  <dcterms:created xsi:type="dcterms:W3CDTF">2021-10-08T06:13:00Z</dcterms:created>
  <dcterms:modified xsi:type="dcterms:W3CDTF">2021-10-08T06:13:00Z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